
<file path=[Content_Types].xml><?xml version="1.0" encoding="utf-8"?>
<Types xmlns="http://schemas.openxmlformats.org/package/2006/content-types">
  <Default Extension="emf" ContentType="image/x-emf"/>
  <Default Extension="jpg"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1A02" w14:textId="77777777" w:rsidR="00837B5A" w:rsidRPr="00837B5A" w:rsidRDefault="00837B5A" w:rsidP="00837B5A">
      <w:pPr>
        <w:jc w:val="both"/>
        <w:rPr>
          <w:b/>
        </w:rPr>
      </w:pPr>
    </w:p>
    <w:p w14:paraId="4EA835C2" w14:textId="0BF98A96" w:rsidR="008D1265" w:rsidRPr="002A5DD6" w:rsidRDefault="00BE4D3F" w:rsidP="00B65608">
      <w:pPr>
        <w:pStyle w:val="Titolo1"/>
        <w:jc w:val="center"/>
        <w:rPr>
          <w:rFonts w:asciiTheme="majorHAnsi" w:hAnsiTheme="majorHAnsi" w:cstheme="majorHAnsi"/>
          <w:sz w:val="32"/>
          <w:szCs w:val="32"/>
        </w:rPr>
      </w:pPr>
      <w:r w:rsidRPr="0031140A">
        <w:rPr>
          <w:rFonts w:asciiTheme="majorHAnsi" w:hAnsiTheme="majorHAnsi" w:cstheme="majorHAnsi"/>
          <w:sz w:val="32"/>
          <w:szCs w:val="32"/>
        </w:rPr>
        <w:t xml:space="preserve">Noleggio veicoli: immatricolazioni </w:t>
      </w:r>
      <w:r w:rsidR="002A7F01" w:rsidRPr="0031140A">
        <w:rPr>
          <w:rFonts w:asciiTheme="majorHAnsi" w:hAnsiTheme="majorHAnsi" w:cstheme="majorHAnsi"/>
          <w:sz w:val="32"/>
          <w:szCs w:val="32"/>
        </w:rPr>
        <w:t>in “crescita frenata”</w:t>
      </w:r>
    </w:p>
    <w:p w14:paraId="0E949F6E" w14:textId="4D173EC0" w:rsidR="002A7F01" w:rsidRPr="002A5DD6" w:rsidRDefault="002A7F01" w:rsidP="00B65608">
      <w:pPr>
        <w:pStyle w:val="Titolo1"/>
        <w:jc w:val="center"/>
        <w:rPr>
          <w:rStyle w:val="Collegamentoipertestuale"/>
          <w:rFonts w:asciiTheme="majorHAnsi" w:hAnsiTheme="majorHAnsi" w:cstheme="majorHAnsi"/>
          <w:b w:val="0"/>
          <w:bCs w:val="0"/>
          <w:i/>
          <w:iCs/>
          <w:color w:val="1F497D" w:themeColor="text2"/>
          <w:sz w:val="26"/>
          <w:szCs w:val="26"/>
        </w:rPr>
      </w:pPr>
      <w:r w:rsidRPr="002A5DD6">
        <w:rPr>
          <w:rFonts w:asciiTheme="majorHAnsi" w:hAnsiTheme="majorHAnsi" w:cstheme="majorHAnsi"/>
          <w:b w:val="0"/>
          <w:bCs w:val="0"/>
          <w:i/>
          <w:iCs/>
          <w:sz w:val="26"/>
          <w:szCs w:val="26"/>
        </w:rPr>
        <w:t>L’analisi condotta da ANIASA e Dataforce registra un rallentamento delle immatricolazioni a noleggio nel primo trimestre</w:t>
      </w:r>
      <w:r w:rsidR="002A5DD6">
        <w:rPr>
          <w:rFonts w:asciiTheme="majorHAnsi" w:hAnsiTheme="majorHAnsi" w:cstheme="majorHAnsi"/>
          <w:b w:val="0"/>
          <w:bCs w:val="0"/>
          <w:i/>
          <w:iCs/>
          <w:sz w:val="26"/>
          <w:szCs w:val="26"/>
        </w:rPr>
        <w:t xml:space="preserve">, che valgono comunque il </w:t>
      </w:r>
      <w:r>
        <w:rPr>
          <w:rFonts w:asciiTheme="majorHAnsi" w:hAnsiTheme="majorHAnsi" w:cstheme="majorHAnsi"/>
          <w:b w:val="0"/>
          <w:bCs w:val="0"/>
          <w:i/>
          <w:iCs/>
          <w:sz w:val="26"/>
          <w:szCs w:val="26"/>
        </w:rPr>
        <w:t>31% del mercato</w:t>
      </w:r>
      <w:r w:rsidRPr="002A5DD6">
        <w:rPr>
          <w:rFonts w:asciiTheme="majorHAnsi" w:hAnsiTheme="majorHAnsi" w:cstheme="majorHAnsi"/>
          <w:b w:val="0"/>
          <w:bCs w:val="0"/>
          <w:i/>
          <w:iCs/>
          <w:sz w:val="26"/>
          <w:szCs w:val="26"/>
        </w:rPr>
        <w:t xml:space="preserve">. Boom del noleggio a breve termine. </w:t>
      </w:r>
      <w:r>
        <w:rPr>
          <w:rFonts w:asciiTheme="majorHAnsi" w:hAnsiTheme="majorHAnsi" w:cstheme="majorHAnsi"/>
          <w:b w:val="0"/>
          <w:bCs w:val="0"/>
          <w:i/>
          <w:iCs/>
          <w:sz w:val="26"/>
          <w:szCs w:val="26"/>
        </w:rPr>
        <w:t xml:space="preserve">Il settore immatricola il </w:t>
      </w:r>
      <w:r w:rsidR="00C355EB">
        <w:rPr>
          <w:rFonts w:asciiTheme="majorHAnsi" w:hAnsiTheme="majorHAnsi" w:cstheme="majorHAnsi"/>
          <w:b w:val="0"/>
          <w:bCs w:val="0"/>
          <w:i/>
          <w:iCs/>
          <w:sz w:val="26"/>
          <w:szCs w:val="26"/>
        </w:rPr>
        <w:t>3</w:t>
      </w:r>
      <w:r w:rsidR="00B62CD9">
        <w:rPr>
          <w:rFonts w:asciiTheme="majorHAnsi" w:hAnsiTheme="majorHAnsi" w:cstheme="majorHAnsi"/>
          <w:b w:val="0"/>
          <w:bCs w:val="0"/>
          <w:i/>
          <w:iCs/>
          <w:sz w:val="26"/>
          <w:szCs w:val="26"/>
        </w:rPr>
        <w:t>5,2</w:t>
      </w:r>
      <w:r>
        <w:rPr>
          <w:rFonts w:asciiTheme="majorHAnsi" w:hAnsiTheme="majorHAnsi" w:cstheme="majorHAnsi"/>
          <w:b w:val="0"/>
          <w:bCs w:val="0"/>
          <w:i/>
          <w:iCs/>
          <w:sz w:val="26"/>
          <w:szCs w:val="26"/>
        </w:rPr>
        <w:t xml:space="preserve">% delle elettriche e il </w:t>
      </w:r>
      <w:r w:rsidR="00C355EB">
        <w:rPr>
          <w:rFonts w:asciiTheme="majorHAnsi" w:hAnsiTheme="majorHAnsi" w:cstheme="majorHAnsi"/>
          <w:b w:val="0"/>
          <w:bCs w:val="0"/>
          <w:i/>
          <w:iCs/>
          <w:sz w:val="26"/>
          <w:szCs w:val="26"/>
        </w:rPr>
        <w:t>5</w:t>
      </w:r>
      <w:r w:rsidR="00B62CD9">
        <w:rPr>
          <w:rFonts w:asciiTheme="majorHAnsi" w:hAnsiTheme="majorHAnsi" w:cstheme="majorHAnsi"/>
          <w:b w:val="0"/>
          <w:bCs w:val="0"/>
          <w:i/>
          <w:iCs/>
          <w:sz w:val="26"/>
          <w:szCs w:val="26"/>
        </w:rPr>
        <w:t>5,3</w:t>
      </w:r>
      <w:r>
        <w:rPr>
          <w:rFonts w:asciiTheme="majorHAnsi" w:hAnsiTheme="majorHAnsi" w:cstheme="majorHAnsi"/>
          <w:b w:val="0"/>
          <w:bCs w:val="0"/>
          <w:i/>
          <w:iCs/>
          <w:sz w:val="26"/>
          <w:szCs w:val="26"/>
        </w:rPr>
        <w:t>% delle plug-in.</w:t>
      </w:r>
      <w:r w:rsidRPr="002A7F01">
        <w:rPr>
          <w:rFonts w:asciiTheme="majorHAnsi" w:hAnsiTheme="majorHAnsi" w:cstheme="majorHAnsi"/>
          <w:b w:val="0"/>
          <w:bCs w:val="0"/>
          <w:i/>
          <w:iCs/>
          <w:sz w:val="26"/>
          <w:szCs w:val="26"/>
        </w:rPr>
        <w:t xml:space="preserve"> </w:t>
      </w:r>
      <w:r w:rsidR="006618BA">
        <w:rPr>
          <w:rFonts w:asciiTheme="majorHAnsi" w:hAnsiTheme="majorHAnsi" w:cstheme="majorHAnsi"/>
          <w:b w:val="0"/>
          <w:bCs w:val="0"/>
          <w:i/>
          <w:iCs/>
          <w:sz w:val="26"/>
          <w:szCs w:val="26"/>
        </w:rPr>
        <w:br/>
      </w:r>
      <w:r w:rsidRPr="00127906">
        <w:rPr>
          <w:rFonts w:asciiTheme="majorHAnsi" w:hAnsiTheme="majorHAnsi" w:cstheme="majorHAnsi"/>
          <w:b w:val="0"/>
          <w:bCs w:val="0"/>
          <w:i/>
          <w:iCs/>
          <w:sz w:val="26"/>
          <w:szCs w:val="26"/>
        </w:rPr>
        <w:t>Pesa l’effetto annuncio degli incentivi.</w:t>
      </w:r>
    </w:p>
    <w:p w14:paraId="6F434805" w14:textId="77777777" w:rsidR="008D1265" w:rsidRPr="00B65608" w:rsidRDefault="008D1265" w:rsidP="008D1265">
      <w:pPr>
        <w:jc w:val="both"/>
        <w:rPr>
          <w:rFonts w:asciiTheme="majorHAnsi" w:hAnsiTheme="majorHAnsi" w:cstheme="majorHAnsi"/>
          <w:b/>
        </w:rPr>
      </w:pPr>
    </w:p>
    <w:p w14:paraId="3C5B3B56" w14:textId="058EEC1B" w:rsidR="00B65608" w:rsidRPr="00B65608" w:rsidRDefault="00B65608" w:rsidP="00B65608">
      <w:pPr>
        <w:spacing w:after="120"/>
        <w:jc w:val="both"/>
        <w:rPr>
          <w:rFonts w:asciiTheme="majorHAnsi" w:hAnsiTheme="majorHAnsi" w:cstheme="majorHAnsi"/>
          <w:i/>
        </w:rPr>
      </w:pPr>
      <w:r w:rsidRPr="00B65608">
        <w:rPr>
          <w:rFonts w:asciiTheme="majorHAnsi" w:hAnsiTheme="majorHAnsi" w:cstheme="majorHAnsi"/>
          <w:i/>
        </w:rPr>
        <w:t xml:space="preserve">Roma, </w:t>
      </w:r>
      <w:r w:rsidR="00345373">
        <w:rPr>
          <w:rFonts w:asciiTheme="majorHAnsi" w:hAnsiTheme="majorHAnsi" w:cstheme="majorHAnsi"/>
          <w:i/>
        </w:rPr>
        <w:t>5</w:t>
      </w:r>
      <w:r w:rsidRPr="00B65608">
        <w:rPr>
          <w:rFonts w:asciiTheme="majorHAnsi" w:hAnsiTheme="majorHAnsi" w:cstheme="majorHAnsi"/>
          <w:i/>
        </w:rPr>
        <w:t xml:space="preserve"> aprile 2024</w:t>
      </w:r>
    </w:p>
    <w:p w14:paraId="71C1E6EF" w14:textId="66D586CC" w:rsidR="003B45C3" w:rsidRPr="00CA1798" w:rsidRDefault="00C06FF5" w:rsidP="00241406">
      <w:pPr>
        <w:shd w:val="clear" w:color="auto" w:fill="FFFFFF"/>
        <w:spacing w:after="225"/>
        <w:jc w:val="both"/>
        <w:rPr>
          <w:rFonts w:asciiTheme="majorHAnsi" w:eastAsia="Times New Roman" w:hAnsiTheme="majorHAnsi" w:cstheme="majorHAnsi"/>
          <w:b/>
          <w:bCs/>
          <w:color w:val="000000"/>
        </w:rPr>
      </w:pPr>
      <w:r w:rsidRPr="00CA1798">
        <w:rPr>
          <w:rFonts w:asciiTheme="majorHAnsi" w:eastAsia="Times New Roman" w:hAnsiTheme="majorHAnsi" w:cstheme="majorHAnsi"/>
          <w:b/>
          <w:bCs/>
          <w:color w:val="000000"/>
        </w:rPr>
        <w:t xml:space="preserve">Il </w:t>
      </w:r>
      <w:r w:rsidR="00E076B0" w:rsidRPr="00CA1798">
        <w:rPr>
          <w:rFonts w:asciiTheme="majorHAnsi" w:eastAsia="Times New Roman" w:hAnsiTheme="majorHAnsi" w:cstheme="majorHAnsi"/>
          <w:b/>
          <w:bCs/>
          <w:color w:val="000000"/>
        </w:rPr>
        <w:t xml:space="preserve">settore </w:t>
      </w:r>
      <w:r w:rsidRPr="00CA1798">
        <w:rPr>
          <w:rFonts w:asciiTheme="majorHAnsi" w:eastAsia="Times New Roman" w:hAnsiTheme="majorHAnsi" w:cstheme="majorHAnsi"/>
          <w:b/>
          <w:bCs/>
          <w:color w:val="000000"/>
        </w:rPr>
        <w:t>del noleggio</w:t>
      </w:r>
      <w:r w:rsidR="004162DD" w:rsidRPr="00CA1798">
        <w:rPr>
          <w:rFonts w:asciiTheme="majorHAnsi" w:eastAsia="Times New Roman" w:hAnsiTheme="majorHAnsi" w:cstheme="majorHAnsi"/>
          <w:b/>
          <w:bCs/>
          <w:color w:val="000000"/>
        </w:rPr>
        <w:t xml:space="preserve"> veicoli</w:t>
      </w:r>
      <w:r w:rsidRPr="00CA1798">
        <w:rPr>
          <w:rFonts w:asciiTheme="majorHAnsi" w:eastAsia="Times New Roman" w:hAnsiTheme="majorHAnsi" w:cstheme="majorHAnsi"/>
          <w:b/>
          <w:bCs/>
          <w:color w:val="000000"/>
        </w:rPr>
        <w:t xml:space="preserve"> ha aperto il 2024 in leggera crescita</w:t>
      </w:r>
      <w:r w:rsidR="003B45C3" w:rsidRPr="00CA1798">
        <w:rPr>
          <w:rFonts w:asciiTheme="majorHAnsi" w:eastAsia="Times New Roman" w:hAnsiTheme="majorHAnsi" w:cstheme="majorHAnsi"/>
          <w:b/>
          <w:bCs/>
          <w:color w:val="000000"/>
        </w:rPr>
        <w:t xml:space="preserve"> sull’anno scorso</w:t>
      </w:r>
      <w:r w:rsidRPr="00CA1798">
        <w:rPr>
          <w:rFonts w:asciiTheme="majorHAnsi" w:eastAsia="Times New Roman" w:hAnsiTheme="majorHAnsi" w:cstheme="majorHAnsi"/>
          <w:b/>
          <w:bCs/>
          <w:color w:val="000000"/>
        </w:rPr>
        <w:t xml:space="preserve">: +5,46% nel primo trimestre. </w:t>
      </w:r>
      <w:r w:rsidR="004162DD" w:rsidRPr="00CA1798">
        <w:rPr>
          <w:rFonts w:asciiTheme="majorHAnsi" w:eastAsia="Times New Roman" w:hAnsiTheme="majorHAnsi" w:cstheme="majorHAnsi"/>
          <w:b/>
          <w:bCs/>
          <w:color w:val="000000"/>
        </w:rPr>
        <w:t>Un incremento trainato</w:t>
      </w:r>
      <w:r w:rsidRPr="00CA1798">
        <w:rPr>
          <w:rFonts w:asciiTheme="majorHAnsi" w:eastAsia="Times New Roman" w:hAnsiTheme="majorHAnsi" w:cstheme="majorHAnsi"/>
          <w:b/>
          <w:bCs/>
          <w:color w:val="000000"/>
        </w:rPr>
        <w:t xml:space="preserve"> </w:t>
      </w:r>
      <w:r w:rsidR="004162DD" w:rsidRPr="00CA1798">
        <w:rPr>
          <w:rFonts w:asciiTheme="majorHAnsi" w:eastAsia="Times New Roman" w:hAnsiTheme="majorHAnsi" w:cstheme="majorHAnsi"/>
          <w:b/>
          <w:bCs/>
          <w:color w:val="000000"/>
        </w:rPr>
        <w:t>d</w:t>
      </w:r>
      <w:r w:rsidRPr="00CA1798">
        <w:rPr>
          <w:rFonts w:asciiTheme="majorHAnsi" w:eastAsia="Times New Roman" w:hAnsiTheme="majorHAnsi" w:cstheme="majorHAnsi"/>
          <w:b/>
          <w:bCs/>
          <w:color w:val="000000"/>
        </w:rPr>
        <w:t xml:space="preserve">all’importante recupero </w:t>
      </w:r>
      <w:r w:rsidR="004162DD" w:rsidRPr="00CA1798">
        <w:rPr>
          <w:rFonts w:asciiTheme="majorHAnsi" w:eastAsia="Times New Roman" w:hAnsiTheme="majorHAnsi" w:cstheme="majorHAnsi"/>
          <w:b/>
          <w:bCs/>
          <w:color w:val="000000"/>
        </w:rPr>
        <w:t>del noleggio a breve termine</w:t>
      </w:r>
      <w:r w:rsidRPr="00CA1798">
        <w:rPr>
          <w:rFonts w:asciiTheme="majorHAnsi" w:eastAsia="Times New Roman" w:hAnsiTheme="majorHAnsi" w:cstheme="majorHAnsi"/>
          <w:b/>
          <w:bCs/>
          <w:color w:val="000000"/>
        </w:rPr>
        <w:t xml:space="preserve"> (+71,13%) e </w:t>
      </w:r>
      <w:r w:rsidR="004162DD" w:rsidRPr="00CA1798">
        <w:rPr>
          <w:rFonts w:asciiTheme="majorHAnsi" w:eastAsia="Times New Roman" w:hAnsiTheme="majorHAnsi" w:cstheme="majorHAnsi"/>
          <w:b/>
          <w:bCs/>
          <w:color w:val="000000"/>
        </w:rPr>
        <w:t xml:space="preserve">dal </w:t>
      </w:r>
      <w:r w:rsidRPr="00CA1798">
        <w:rPr>
          <w:rFonts w:asciiTheme="majorHAnsi" w:eastAsia="Times New Roman" w:hAnsiTheme="majorHAnsi" w:cstheme="majorHAnsi"/>
          <w:b/>
          <w:bCs/>
          <w:color w:val="000000"/>
        </w:rPr>
        <w:t xml:space="preserve">buon andamento del settore dei veicoli commerciali nel lungo termine (+33,83%). </w:t>
      </w:r>
      <w:r w:rsidR="003B45C3" w:rsidRPr="00CA1798">
        <w:rPr>
          <w:rFonts w:asciiTheme="majorHAnsi" w:eastAsia="Times New Roman" w:hAnsiTheme="majorHAnsi" w:cstheme="majorHAnsi"/>
          <w:b/>
          <w:bCs/>
          <w:color w:val="000000"/>
        </w:rPr>
        <w:t>Fiacco</w:t>
      </w:r>
      <w:r w:rsidRPr="00CA1798">
        <w:rPr>
          <w:rFonts w:asciiTheme="majorHAnsi" w:eastAsia="Times New Roman" w:hAnsiTheme="majorHAnsi" w:cstheme="majorHAnsi"/>
          <w:b/>
          <w:bCs/>
          <w:color w:val="000000"/>
        </w:rPr>
        <w:t xml:space="preserve">, invece, </w:t>
      </w:r>
      <w:r w:rsidR="009B6F9B">
        <w:rPr>
          <w:rFonts w:asciiTheme="majorHAnsi" w:eastAsia="Times New Roman" w:hAnsiTheme="majorHAnsi" w:cstheme="majorHAnsi"/>
          <w:b/>
          <w:bCs/>
          <w:color w:val="000000"/>
        </w:rPr>
        <w:t xml:space="preserve">il </w:t>
      </w:r>
      <w:r w:rsidR="004162DD" w:rsidRPr="00CA1798">
        <w:rPr>
          <w:rFonts w:asciiTheme="majorHAnsi" w:eastAsia="Times New Roman" w:hAnsiTheme="majorHAnsi" w:cstheme="majorHAnsi"/>
          <w:b/>
          <w:bCs/>
          <w:color w:val="000000"/>
        </w:rPr>
        <w:t>long term delle auto, in contrazione del</w:t>
      </w:r>
      <w:r w:rsidR="009B6F9B">
        <w:rPr>
          <w:rFonts w:asciiTheme="majorHAnsi" w:eastAsia="Times New Roman" w:hAnsiTheme="majorHAnsi" w:cstheme="majorHAnsi"/>
          <w:b/>
          <w:bCs/>
          <w:color w:val="000000"/>
        </w:rPr>
        <w:t xml:space="preserve"> </w:t>
      </w:r>
      <w:r w:rsidRPr="00CA1798">
        <w:rPr>
          <w:rFonts w:asciiTheme="majorHAnsi" w:eastAsia="Times New Roman" w:hAnsiTheme="majorHAnsi" w:cstheme="majorHAnsi"/>
          <w:b/>
          <w:bCs/>
          <w:color w:val="000000"/>
        </w:rPr>
        <w:t>13,55%.</w:t>
      </w:r>
    </w:p>
    <w:p w14:paraId="4889124F" w14:textId="2211B1E9" w:rsidR="00E076B0" w:rsidRPr="00177EEC" w:rsidRDefault="00E076B0" w:rsidP="00E076B0">
      <w:pPr>
        <w:shd w:val="clear" w:color="auto" w:fill="FFFFFF"/>
        <w:spacing w:after="225"/>
        <w:jc w:val="both"/>
        <w:rPr>
          <w:rFonts w:asciiTheme="majorHAnsi" w:eastAsia="Times New Roman" w:hAnsiTheme="majorHAnsi" w:cstheme="majorHAnsi"/>
          <w:color w:val="000000"/>
        </w:rPr>
      </w:pPr>
      <w:r w:rsidRPr="00177EEC">
        <w:rPr>
          <w:rFonts w:asciiTheme="majorHAnsi" w:eastAsia="Times New Roman" w:hAnsiTheme="majorHAnsi" w:cstheme="majorHAnsi"/>
          <w:color w:val="000000"/>
        </w:rPr>
        <w:t>Sono questi i principali dati e spunti che emergono dall’analisi trimestrale sul settore del noleggio veicoli promossa da ANIASA e da Dataforce. Si tratta del primo di una serie di appuntamenti trimestrali, in occasioni dei quali l’Associazione che in Confindustria rappresenta il settore della mobilità pay-per-use e la società di analisi di mercato metteranno a disposizione di media, istituzioni, stakeholder e opinione pubblica un monitoraggio puntuale sull’andamento delle immatricolazioni del noleggio veicoli</w:t>
      </w:r>
      <w:r w:rsidR="0056183A">
        <w:rPr>
          <w:rFonts w:asciiTheme="majorHAnsi" w:eastAsia="Times New Roman" w:hAnsiTheme="majorHAnsi" w:cstheme="majorHAnsi"/>
          <w:color w:val="000000"/>
        </w:rPr>
        <w:t>.</w:t>
      </w:r>
      <w:r w:rsidR="00177EEC">
        <w:rPr>
          <w:rFonts w:asciiTheme="majorHAnsi" w:eastAsia="Times New Roman" w:hAnsiTheme="majorHAnsi" w:cstheme="majorHAnsi"/>
          <w:color w:val="000000"/>
        </w:rPr>
        <w:t xml:space="preserve"> </w:t>
      </w:r>
      <w:r w:rsidR="0056183A">
        <w:rPr>
          <w:rFonts w:asciiTheme="majorHAnsi" w:eastAsia="Times New Roman" w:hAnsiTheme="majorHAnsi" w:cstheme="majorHAnsi"/>
          <w:color w:val="000000"/>
        </w:rPr>
        <w:t xml:space="preserve">L’obiettivo è </w:t>
      </w:r>
      <w:r w:rsidRPr="00177EEC">
        <w:rPr>
          <w:rFonts w:asciiTheme="majorHAnsi" w:eastAsia="Times New Roman" w:hAnsiTheme="majorHAnsi" w:cstheme="majorHAnsi"/>
          <w:color w:val="000000"/>
        </w:rPr>
        <w:t>evidenzia</w:t>
      </w:r>
      <w:r w:rsidR="0056183A">
        <w:rPr>
          <w:rFonts w:asciiTheme="majorHAnsi" w:eastAsia="Times New Roman" w:hAnsiTheme="majorHAnsi" w:cstheme="majorHAnsi"/>
          <w:color w:val="000000"/>
        </w:rPr>
        <w:t>re</w:t>
      </w:r>
      <w:r w:rsidRPr="00177EEC">
        <w:rPr>
          <w:rFonts w:asciiTheme="majorHAnsi" w:eastAsia="Times New Roman" w:hAnsiTheme="majorHAnsi" w:cstheme="majorHAnsi"/>
          <w:color w:val="000000"/>
        </w:rPr>
        <w:t xml:space="preserve"> i principali trend in atto per i settori del lungo e del breve termine</w:t>
      </w:r>
      <w:r w:rsidR="00177EEC">
        <w:rPr>
          <w:rFonts w:asciiTheme="majorHAnsi" w:eastAsia="Times New Roman" w:hAnsiTheme="majorHAnsi" w:cstheme="majorHAnsi"/>
          <w:color w:val="000000"/>
        </w:rPr>
        <w:t xml:space="preserve">, </w:t>
      </w:r>
      <w:r w:rsidRPr="00177EEC">
        <w:rPr>
          <w:rFonts w:asciiTheme="majorHAnsi" w:eastAsia="Times New Roman" w:hAnsiTheme="majorHAnsi" w:cstheme="majorHAnsi"/>
          <w:color w:val="000000"/>
        </w:rPr>
        <w:t>analizzando (dati alla mano) le tematiche di più stretta attualità, come la diffusione delle alimentazioni a basse o zero emissioni, l</w:t>
      </w:r>
      <w:r w:rsidR="00C45463">
        <w:rPr>
          <w:rFonts w:asciiTheme="majorHAnsi" w:eastAsia="Times New Roman" w:hAnsiTheme="majorHAnsi" w:cstheme="majorHAnsi"/>
          <w:color w:val="000000"/>
        </w:rPr>
        <w:t xml:space="preserve">a suddivisione </w:t>
      </w:r>
      <w:r w:rsidRPr="00177EEC">
        <w:rPr>
          <w:rFonts w:asciiTheme="majorHAnsi" w:eastAsia="Times New Roman" w:hAnsiTheme="majorHAnsi" w:cstheme="majorHAnsi"/>
          <w:color w:val="000000"/>
        </w:rPr>
        <w:t xml:space="preserve">per utilizzatore e molto altro ancora. In chiusura il </w:t>
      </w:r>
      <w:r w:rsidR="001A1499">
        <w:rPr>
          <w:rFonts w:asciiTheme="majorHAnsi" w:eastAsia="Times New Roman" w:hAnsiTheme="majorHAnsi" w:cstheme="majorHAnsi"/>
          <w:color w:val="000000"/>
        </w:rPr>
        <w:t xml:space="preserve">consueto </w:t>
      </w:r>
      <w:r w:rsidRPr="00177EEC">
        <w:rPr>
          <w:rFonts w:asciiTheme="majorHAnsi" w:eastAsia="Times New Roman" w:hAnsiTheme="majorHAnsi" w:cstheme="majorHAnsi"/>
          <w:color w:val="000000"/>
        </w:rPr>
        <w:t>focus, curato da Dataforce, sugli operatori del comparto.</w:t>
      </w:r>
    </w:p>
    <w:p w14:paraId="21CD7254" w14:textId="77777777" w:rsidR="0048757F" w:rsidRDefault="0048757F" w:rsidP="00241406">
      <w:pPr>
        <w:shd w:val="clear" w:color="auto" w:fill="FFFFFF"/>
        <w:spacing w:after="225"/>
        <w:jc w:val="both"/>
        <w:rPr>
          <w:rFonts w:asciiTheme="majorHAnsi" w:eastAsia="Times New Roman" w:hAnsiTheme="majorHAnsi" w:cstheme="majorHAnsi"/>
          <w:color w:val="000000"/>
        </w:rPr>
      </w:pPr>
      <w:r w:rsidRPr="0048757F">
        <w:rPr>
          <w:rFonts w:asciiTheme="majorHAnsi" w:eastAsia="Times New Roman" w:hAnsiTheme="majorHAnsi" w:cstheme="majorHAnsi"/>
          <w:color w:val="000000"/>
        </w:rPr>
        <w:t>Il noleggio veicoli quest’anno vale il 31% dell’intero mercato italiano. Una quota che, nonostante la flessione di auto registrata dal noleggio a lungo termine (NLT), ben 4,6 punti in meno dell’anno scorso che aveva però beneficiato di un ampio portafoglio ordini legato anche alle ritardate consegne del 2021 e 2022, è rimasta sostanzialmente inalterata rispetto al primo trimestre 2023. Un risultato determinato dalla forte crescita delle immatricolazioni NLT dei veicoli commerciali (oggi la soluzione d’acquisizione più diffusa per i veicoli da lavoro, persino più degli acquisti aziendali in proprietà diretta), nonché dall’impennata dell’inserimento di veicoli in flotta del rent-a-car, salito quest’anno oltre l’8,5% di quota di mercato (+3,2 punti), che riequilibra così la flessione del lungo termine.</w:t>
      </w:r>
    </w:p>
    <w:p w14:paraId="0D53580A" w14:textId="31ABAB0A" w:rsidR="008B5554" w:rsidRDefault="001A1499" w:rsidP="00241406">
      <w:pPr>
        <w:shd w:val="clear" w:color="auto" w:fill="FFFFFF"/>
        <w:spacing w:after="225"/>
        <w:jc w:val="both"/>
        <w:rPr>
          <w:rFonts w:asciiTheme="majorHAnsi" w:eastAsia="Times New Roman" w:hAnsiTheme="majorHAnsi" w:cstheme="majorHAnsi"/>
          <w:color w:val="000000"/>
        </w:rPr>
      </w:pPr>
      <w:r w:rsidRPr="001A1499">
        <w:rPr>
          <w:rFonts w:asciiTheme="majorHAnsi" w:eastAsia="Times New Roman" w:hAnsiTheme="majorHAnsi" w:cstheme="majorHAnsi"/>
          <w:color w:val="000000"/>
        </w:rPr>
        <w:t>Era da</w:t>
      </w:r>
      <w:r>
        <w:rPr>
          <w:rFonts w:asciiTheme="majorHAnsi" w:eastAsia="Times New Roman" w:hAnsiTheme="majorHAnsi" w:cstheme="majorHAnsi"/>
          <w:color w:val="000000"/>
        </w:rPr>
        <w:t xml:space="preserve"> prima del COVID </w:t>
      </w:r>
      <w:r w:rsidRPr="001A1499">
        <w:rPr>
          <w:rFonts w:asciiTheme="majorHAnsi" w:eastAsia="Times New Roman" w:hAnsiTheme="majorHAnsi" w:cstheme="majorHAnsi"/>
          <w:color w:val="000000"/>
        </w:rPr>
        <w:t>che non si registrava un aumento così forte</w:t>
      </w:r>
      <w:r w:rsidR="00CA1798">
        <w:rPr>
          <w:rFonts w:asciiTheme="majorHAnsi" w:eastAsia="Times New Roman" w:hAnsiTheme="majorHAnsi" w:cstheme="majorHAnsi"/>
          <w:color w:val="000000"/>
        </w:rPr>
        <w:t xml:space="preserve"> nel breve termine</w:t>
      </w:r>
      <w:r w:rsidRPr="001A1499">
        <w:rPr>
          <w:rFonts w:asciiTheme="majorHAnsi" w:eastAsia="Times New Roman" w:hAnsiTheme="majorHAnsi" w:cstheme="majorHAnsi"/>
          <w:color w:val="000000"/>
        </w:rPr>
        <w:t xml:space="preserve">, trainato principalmente dalle autovetture di piccola e media fascia/cilindrata, in vista della </w:t>
      </w:r>
      <w:r>
        <w:rPr>
          <w:rFonts w:asciiTheme="majorHAnsi" w:eastAsia="Times New Roman" w:hAnsiTheme="majorHAnsi" w:cstheme="majorHAnsi"/>
          <w:color w:val="000000"/>
        </w:rPr>
        <w:t xml:space="preserve">prossima </w:t>
      </w:r>
      <w:r w:rsidRPr="001A1499">
        <w:rPr>
          <w:rFonts w:asciiTheme="majorHAnsi" w:eastAsia="Times New Roman" w:hAnsiTheme="majorHAnsi" w:cstheme="majorHAnsi"/>
          <w:color w:val="000000"/>
        </w:rPr>
        <w:t>stagione turistica. Sembra alle spalle il triennio 2021</w:t>
      </w:r>
      <w:r>
        <w:rPr>
          <w:rFonts w:asciiTheme="majorHAnsi" w:eastAsia="Times New Roman" w:hAnsiTheme="majorHAnsi" w:cstheme="majorHAnsi"/>
          <w:color w:val="000000"/>
        </w:rPr>
        <w:t>-</w:t>
      </w:r>
      <w:r w:rsidRPr="001A1499">
        <w:rPr>
          <w:rFonts w:asciiTheme="majorHAnsi" w:eastAsia="Times New Roman" w:hAnsiTheme="majorHAnsi" w:cstheme="majorHAnsi"/>
          <w:color w:val="000000"/>
        </w:rPr>
        <w:t xml:space="preserve">2023 </w:t>
      </w:r>
      <w:r>
        <w:rPr>
          <w:rFonts w:asciiTheme="majorHAnsi" w:eastAsia="Times New Roman" w:hAnsiTheme="majorHAnsi" w:cstheme="majorHAnsi"/>
          <w:color w:val="000000"/>
        </w:rPr>
        <w:t>in cui</w:t>
      </w:r>
      <w:r w:rsidRPr="001A1499">
        <w:rPr>
          <w:rFonts w:asciiTheme="majorHAnsi" w:eastAsia="Times New Roman" w:hAnsiTheme="majorHAnsi" w:cstheme="majorHAnsi"/>
          <w:color w:val="000000"/>
        </w:rPr>
        <w:t xml:space="preserve"> si registravano non poche difficoltà nell</w:t>
      </w:r>
      <w:r>
        <w:rPr>
          <w:rFonts w:asciiTheme="majorHAnsi" w:eastAsia="Times New Roman" w:hAnsiTheme="majorHAnsi" w:cstheme="majorHAnsi"/>
          <w:color w:val="000000"/>
        </w:rPr>
        <w:t>’</w:t>
      </w:r>
      <w:r w:rsidRPr="001A1499">
        <w:rPr>
          <w:rFonts w:asciiTheme="majorHAnsi" w:eastAsia="Times New Roman" w:hAnsiTheme="majorHAnsi" w:cstheme="majorHAnsi"/>
          <w:color w:val="000000"/>
        </w:rPr>
        <w:t>approvvigionamento</w:t>
      </w:r>
      <w:r>
        <w:rPr>
          <w:rFonts w:asciiTheme="majorHAnsi" w:eastAsia="Times New Roman" w:hAnsiTheme="majorHAnsi" w:cstheme="majorHAnsi"/>
          <w:color w:val="000000"/>
        </w:rPr>
        <w:t xml:space="preserve"> di veicoli da parte di questo canale</w:t>
      </w:r>
      <w:r w:rsidRPr="001A1499">
        <w:rPr>
          <w:rFonts w:asciiTheme="majorHAnsi" w:eastAsia="Times New Roman" w:hAnsiTheme="majorHAnsi" w:cstheme="majorHAnsi"/>
          <w:color w:val="000000"/>
        </w:rPr>
        <w:t xml:space="preserve">. </w:t>
      </w:r>
    </w:p>
    <w:p w14:paraId="355F3128" w14:textId="0FC0DDF1" w:rsidR="00BE4D3F" w:rsidRPr="00991CA6" w:rsidRDefault="00BE4D3F" w:rsidP="00241406">
      <w:pPr>
        <w:shd w:val="clear" w:color="auto" w:fill="FFFFFF"/>
        <w:spacing w:after="225"/>
        <w:jc w:val="both"/>
        <w:rPr>
          <w:rFonts w:asciiTheme="majorHAnsi" w:eastAsia="Times New Roman" w:hAnsiTheme="majorHAnsi" w:cstheme="majorHAnsi"/>
          <w:color w:val="000000"/>
        </w:rPr>
      </w:pPr>
      <w:r w:rsidRPr="00BE4D3F">
        <w:rPr>
          <w:rFonts w:asciiTheme="majorHAnsi" w:eastAsia="Times New Roman" w:hAnsiTheme="majorHAnsi" w:cstheme="majorHAnsi"/>
          <w:color w:val="000000"/>
        </w:rPr>
        <w:t>“</w:t>
      </w:r>
      <w:r w:rsidRPr="00991CA6">
        <w:rPr>
          <w:rFonts w:asciiTheme="majorHAnsi" w:eastAsia="Times New Roman" w:hAnsiTheme="majorHAnsi" w:cstheme="majorHAnsi"/>
          <w:i/>
          <w:iCs/>
          <w:color w:val="000000"/>
        </w:rPr>
        <w:t xml:space="preserve">I dati relativi all’andamento delle immatricolazioni a noleggio del primo trimestre evidenziano una crescita rallentata del settore. A frenare le immatricolazioni sta contribuendo decisamente l’effetto ‘annuncio incentivi’ del Governo che sta provocando nelle aziende clienti un rinvio del rinnovo delle flotte, in attesa che i nuovi incentivi (finalmente al 100% anche per il noleggio) entrino in vigore. Un ulteriore periodo di attesa rischia di azzerare le nuove immatricolazioni di veicoli a basse e zero emissioni anche nel </w:t>
      </w:r>
      <w:r w:rsidRPr="00991CA6">
        <w:rPr>
          <w:rFonts w:asciiTheme="majorHAnsi" w:eastAsia="Times New Roman" w:hAnsiTheme="majorHAnsi" w:cstheme="majorHAnsi"/>
          <w:i/>
          <w:iCs/>
          <w:color w:val="000000"/>
        </w:rPr>
        <w:lastRenderedPageBreak/>
        <w:t xml:space="preserve">mese di aprile. Occorre accelerare per evitare di </w:t>
      </w:r>
      <w:r w:rsidR="007E54F8">
        <w:rPr>
          <w:rFonts w:asciiTheme="majorHAnsi" w:eastAsia="Times New Roman" w:hAnsiTheme="majorHAnsi" w:cstheme="majorHAnsi"/>
          <w:i/>
          <w:iCs/>
          <w:color w:val="000000"/>
        </w:rPr>
        <w:t>interrompere la ripresa del mercato, come già il mese di marzo dimostra,</w:t>
      </w:r>
      <w:r w:rsidRPr="00991CA6">
        <w:rPr>
          <w:rFonts w:asciiTheme="majorHAnsi" w:eastAsia="Times New Roman" w:hAnsiTheme="majorHAnsi" w:cstheme="majorHAnsi"/>
          <w:i/>
          <w:iCs/>
          <w:color w:val="000000"/>
        </w:rPr>
        <w:t xml:space="preserve"> e innescare un paradossale effetto di innalzamento dell’età media delle vetture in flotta</w:t>
      </w:r>
      <w:r>
        <w:rPr>
          <w:rFonts w:asciiTheme="majorHAnsi" w:eastAsia="Times New Roman" w:hAnsiTheme="majorHAnsi" w:cstheme="majorHAnsi"/>
          <w:color w:val="000000"/>
        </w:rPr>
        <w:t xml:space="preserve">”, osserva </w:t>
      </w:r>
      <w:r w:rsidRPr="007F66DD">
        <w:rPr>
          <w:rFonts w:asciiTheme="majorHAnsi" w:eastAsia="Times New Roman" w:hAnsiTheme="majorHAnsi" w:cstheme="majorHAnsi"/>
          <w:b/>
          <w:bCs/>
          <w:color w:val="000000"/>
        </w:rPr>
        <w:t>Alberto Viano</w:t>
      </w:r>
      <w:r>
        <w:rPr>
          <w:rFonts w:asciiTheme="majorHAnsi" w:eastAsia="Times New Roman" w:hAnsiTheme="majorHAnsi" w:cstheme="majorHAnsi"/>
          <w:color w:val="000000"/>
        </w:rPr>
        <w:t xml:space="preserve"> – Presidente di ANIASA.</w:t>
      </w:r>
    </w:p>
    <w:p w14:paraId="415E5B4B" w14:textId="77777777" w:rsidR="00837B5A" w:rsidRPr="00AE2539" w:rsidRDefault="00837B5A" w:rsidP="00837B5A">
      <w:pPr>
        <w:rPr>
          <w:rFonts w:asciiTheme="majorHAnsi" w:hAnsiTheme="majorHAnsi" w:cstheme="majorHAnsi"/>
        </w:rPr>
      </w:pPr>
    </w:p>
    <w:p w14:paraId="6E632729" w14:textId="19299FB2" w:rsidR="002C5A6F" w:rsidRDefault="00DB4083" w:rsidP="002C5A6F">
      <w:pPr>
        <w:shd w:val="clear" w:color="auto" w:fill="FFFFFF"/>
        <w:spacing w:after="225"/>
        <w:jc w:val="center"/>
        <w:rPr>
          <w:rFonts w:asciiTheme="majorHAnsi" w:hAnsiTheme="majorHAnsi" w:cstheme="majorHAnsi"/>
        </w:rPr>
      </w:pPr>
      <w:r>
        <w:rPr>
          <w:noProof/>
        </w:rPr>
        <w:drawing>
          <wp:inline distT="0" distB="0" distL="0" distR="0" wp14:anchorId="3C17D21C" wp14:editId="1385D55B">
            <wp:extent cx="6475730" cy="2979420"/>
            <wp:effectExtent l="0" t="0" r="1270" b="0"/>
            <wp:docPr id="89070815" name="Immagine 7" descr="Immagine che contiene testo, schermata, numero, Carattere&#10;&#10;Descrizione generata automa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70815" name="Immagine 7" descr="Immagine che contiene testo, schermata, numero, Carattere&#10;&#10;Descrizione generata automaticament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5730" cy="2979420"/>
                    </a:xfrm>
                    <a:prstGeom prst="rect">
                      <a:avLst/>
                    </a:prstGeom>
                    <a:noFill/>
                    <a:ln>
                      <a:noFill/>
                    </a:ln>
                  </pic:spPr>
                </pic:pic>
              </a:graphicData>
            </a:graphic>
          </wp:inline>
        </w:drawing>
      </w:r>
    </w:p>
    <w:p w14:paraId="6640E616" w14:textId="4543840A" w:rsidR="00B65608" w:rsidRDefault="003F407A" w:rsidP="00B65608">
      <w:pPr>
        <w:jc w:val="both"/>
        <w:rPr>
          <w:rFonts w:asciiTheme="majorHAnsi" w:hAnsiTheme="majorHAnsi" w:cstheme="majorHAnsi"/>
          <w:b/>
        </w:rPr>
      </w:pPr>
      <w:r w:rsidRPr="003F407A">
        <w:rPr>
          <w:rFonts w:asciiTheme="majorHAnsi" w:hAnsiTheme="majorHAnsi" w:cstheme="majorHAnsi"/>
          <w:b/>
        </w:rPr>
        <w:t>TOP 5 VEICOLI PI</w:t>
      </w:r>
      <w:r>
        <w:rPr>
          <w:rFonts w:asciiTheme="majorHAnsi" w:hAnsiTheme="majorHAnsi" w:cstheme="majorHAnsi"/>
          <w:b/>
        </w:rPr>
        <w:t xml:space="preserve">Ù </w:t>
      </w:r>
      <w:r w:rsidR="003C781C">
        <w:rPr>
          <w:rFonts w:asciiTheme="majorHAnsi" w:hAnsiTheme="majorHAnsi" w:cstheme="majorHAnsi"/>
          <w:b/>
        </w:rPr>
        <w:t>NOLEGGIATI</w:t>
      </w:r>
    </w:p>
    <w:p w14:paraId="4ACDC3BD" w14:textId="77777777" w:rsidR="006902AB" w:rsidRPr="003F407A" w:rsidRDefault="006902AB" w:rsidP="00B65608">
      <w:pPr>
        <w:jc w:val="both"/>
        <w:rPr>
          <w:rFonts w:asciiTheme="majorHAnsi" w:hAnsiTheme="majorHAnsi" w:cstheme="majorHAnsi"/>
          <w:b/>
        </w:rPr>
      </w:pPr>
    </w:p>
    <w:p w14:paraId="6C5394A8" w14:textId="22FB5402" w:rsidR="003F407A" w:rsidRDefault="003B45C3" w:rsidP="00B65608">
      <w:pPr>
        <w:shd w:val="clear" w:color="auto" w:fill="FFFFFF"/>
        <w:spacing w:after="225"/>
        <w:jc w:val="both"/>
        <w:rPr>
          <w:rFonts w:asciiTheme="majorHAnsi" w:eastAsia="Times New Roman" w:hAnsiTheme="majorHAnsi" w:cstheme="majorHAnsi"/>
          <w:color w:val="000000"/>
        </w:rPr>
      </w:pPr>
      <w:r>
        <w:rPr>
          <w:rFonts w:asciiTheme="majorHAnsi" w:eastAsia="Times New Roman" w:hAnsiTheme="majorHAnsi" w:cstheme="majorHAnsi"/>
          <w:color w:val="000000"/>
        </w:rPr>
        <w:t xml:space="preserve">Nel </w:t>
      </w:r>
      <w:r w:rsidRPr="008D7F32">
        <w:rPr>
          <w:rFonts w:asciiTheme="majorHAnsi" w:eastAsia="Times New Roman" w:hAnsiTheme="majorHAnsi" w:cstheme="majorHAnsi"/>
          <w:b/>
          <w:bCs/>
          <w:color w:val="000000"/>
        </w:rPr>
        <w:t>noleggio a lungo termine</w:t>
      </w:r>
      <w:r>
        <w:rPr>
          <w:rFonts w:asciiTheme="majorHAnsi" w:eastAsia="Times New Roman" w:hAnsiTheme="majorHAnsi" w:cstheme="majorHAnsi"/>
          <w:color w:val="000000"/>
        </w:rPr>
        <w:t xml:space="preserve"> il modello più richiesto rimane la </w:t>
      </w:r>
      <w:r w:rsidRPr="008D7F32">
        <w:rPr>
          <w:rFonts w:asciiTheme="majorHAnsi" w:eastAsia="Times New Roman" w:hAnsiTheme="majorHAnsi" w:cstheme="majorHAnsi"/>
          <w:b/>
          <w:bCs/>
          <w:color w:val="000000"/>
        </w:rPr>
        <w:t>Fiat Panda</w:t>
      </w:r>
      <w:r>
        <w:rPr>
          <w:rFonts w:asciiTheme="majorHAnsi" w:eastAsia="Times New Roman" w:hAnsiTheme="majorHAnsi" w:cstheme="majorHAnsi"/>
          <w:color w:val="000000"/>
        </w:rPr>
        <w:t>, con un deciso rialzo delle immatricolazioni: +25,08% a fronte di un mercato</w:t>
      </w:r>
      <w:r w:rsidR="003C781C">
        <w:rPr>
          <w:rFonts w:asciiTheme="majorHAnsi" w:eastAsia="Times New Roman" w:hAnsiTheme="majorHAnsi" w:cstheme="majorHAnsi"/>
          <w:color w:val="000000"/>
        </w:rPr>
        <w:t xml:space="preserve"> autovetture </w:t>
      </w:r>
      <w:r>
        <w:rPr>
          <w:rFonts w:asciiTheme="majorHAnsi" w:eastAsia="Times New Roman" w:hAnsiTheme="majorHAnsi" w:cstheme="majorHAnsi"/>
          <w:color w:val="000000"/>
        </w:rPr>
        <w:t xml:space="preserve">del long rent in ribasso del 13,55%. A seguire </w:t>
      </w:r>
      <w:r w:rsidRPr="008D7F32">
        <w:rPr>
          <w:rFonts w:asciiTheme="majorHAnsi" w:eastAsia="Times New Roman" w:hAnsiTheme="majorHAnsi" w:cstheme="majorHAnsi"/>
          <w:b/>
          <w:bCs/>
          <w:color w:val="000000"/>
        </w:rPr>
        <w:t>Nissan Qashqai</w:t>
      </w:r>
      <w:r>
        <w:rPr>
          <w:rFonts w:asciiTheme="majorHAnsi" w:eastAsia="Times New Roman" w:hAnsiTheme="majorHAnsi" w:cstheme="majorHAnsi"/>
          <w:color w:val="000000"/>
        </w:rPr>
        <w:t xml:space="preserve"> (+62,16%), </w:t>
      </w:r>
      <w:r w:rsidRPr="008D7F32">
        <w:rPr>
          <w:rFonts w:asciiTheme="majorHAnsi" w:eastAsia="Times New Roman" w:hAnsiTheme="majorHAnsi" w:cstheme="majorHAnsi"/>
          <w:b/>
          <w:bCs/>
          <w:color w:val="000000"/>
        </w:rPr>
        <w:t>Volkswagen T-Roc</w:t>
      </w:r>
      <w:r>
        <w:rPr>
          <w:rFonts w:asciiTheme="majorHAnsi" w:eastAsia="Times New Roman" w:hAnsiTheme="majorHAnsi" w:cstheme="majorHAnsi"/>
          <w:color w:val="000000"/>
        </w:rPr>
        <w:t xml:space="preserve"> (</w:t>
      </w:r>
      <w:r w:rsidR="00BD6A34">
        <w:rPr>
          <w:rFonts w:asciiTheme="majorHAnsi" w:eastAsia="Times New Roman" w:hAnsiTheme="majorHAnsi" w:cstheme="majorHAnsi"/>
          <w:color w:val="000000"/>
        </w:rPr>
        <w:t xml:space="preserve">sugli stessi volumi dello scorso anno), </w:t>
      </w:r>
      <w:r w:rsidR="00BD6A34" w:rsidRPr="008D7F32">
        <w:rPr>
          <w:rFonts w:asciiTheme="majorHAnsi" w:eastAsia="Times New Roman" w:hAnsiTheme="majorHAnsi" w:cstheme="majorHAnsi"/>
          <w:b/>
          <w:bCs/>
          <w:color w:val="000000"/>
        </w:rPr>
        <w:t>Toyota Yaris</w:t>
      </w:r>
      <w:r w:rsidR="00BD6A34">
        <w:rPr>
          <w:rFonts w:asciiTheme="majorHAnsi" w:eastAsia="Times New Roman" w:hAnsiTheme="majorHAnsi" w:cstheme="majorHAnsi"/>
          <w:color w:val="000000"/>
        </w:rPr>
        <w:t xml:space="preserve"> </w:t>
      </w:r>
      <w:r w:rsidR="00BD6A34" w:rsidRPr="008D7F32">
        <w:rPr>
          <w:rFonts w:asciiTheme="majorHAnsi" w:eastAsia="Times New Roman" w:hAnsiTheme="majorHAnsi" w:cstheme="majorHAnsi"/>
          <w:b/>
          <w:bCs/>
          <w:color w:val="000000"/>
        </w:rPr>
        <w:t>Cross</w:t>
      </w:r>
      <w:r w:rsidR="00BD6A34">
        <w:rPr>
          <w:rFonts w:asciiTheme="majorHAnsi" w:eastAsia="Times New Roman" w:hAnsiTheme="majorHAnsi" w:cstheme="majorHAnsi"/>
          <w:color w:val="000000"/>
        </w:rPr>
        <w:t xml:space="preserve"> (+68,77%) e </w:t>
      </w:r>
      <w:r w:rsidR="00BD6A34" w:rsidRPr="008D7F32">
        <w:rPr>
          <w:rFonts w:asciiTheme="majorHAnsi" w:eastAsia="Times New Roman" w:hAnsiTheme="majorHAnsi" w:cstheme="majorHAnsi"/>
          <w:b/>
          <w:bCs/>
          <w:color w:val="000000"/>
        </w:rPr>
        <w:t>Kia Sportage</w:t>
      </w:r>
      <w:r w:rsidR="00BD6A34">
        <w:rPr>
          <w:rFonts w:asciiTheme="majorHAnsi" w:eastAsia="Times New Roman" w:hAnsiTheme="majorHAnsi" w:cstheme="majorHAnsi"/>
          <w:color w:val="000000"/>
        </w:rPr>
        <w:t xml:space="preserve"> (+21,6%). Tra </w:t>
      </w:r>
      <w:r w:rsidR="003C781C">
        <w:rPr>
          <w:rFonts w:asciiTheme="majorHAnsi" w:eastAsia="Times New Roman" w:hAnsiTheme="majorHAnsi" w:cstheme="majorHAnsi"/>
          <w:color w:val="000000"/>
        </w:rPr>
        <w:t xml:space="preserve">i </w:t>
      </w:r>
      <w:r w:rsidR="00BE4D3F">
        <w:rPr>
          <w:rFonts w:asciiTheme="majorHAnsi" w:eastAsia="Times New Roman" w:hAnsiTheme="majorHAnsi" w:cstheme="majorHAnsi"/>
          <w:color w:val="000000"/>
        </w:rPr>
        <w:t>veicoli commerciali leggeri</w:t>
      </w:r>
      <w:r w:rsidR="00BD6A34">
        <w:rPr>
          <w:rFonts w:asciiTheme="majorHAnsi" w:eastAsia="Times New Roman" w:hAnsiTheme="majorHAnsi" w:cstheme="majorHAnsi"/>
          <w:color w:val="000000"/>
        </w:rPr>
        <w:t xml:space="preserve">, il modello più noleggiato è il </w:t>
      </w:r>
      <w:r w:rsidR="00BD6A34" w:rsidRPr="008D7F32">
        <w:rPr>
          <w:rFonts w:asciiTheme="majorHAnsi" w:eastAsia="Times New Roman" w:hAnsiTheme="majorHAnsi" w:cstheme="majorHAnsi"/>
          <w:b/>
          <w:bCs/>
          <w:color w:val="000000"/>
        </w:rPr>
        <w:t>Fiat Ducato</w:t>
      </w:r>
      <w:r w:rsidR="00BD6A34">
        <w:rPr>
          <w:rFonts w:asciiTheme="majorHAnsi" w:eastAsia="Times New Roman" w:hAnsiTheme="majorHAnsi" w:cstheme="majorHAnsi"/>
          <w:color w:val="000000"/>
        </w:rPr>
        <w:t xml:space="preserve"> (+31,05%, in linea con l’incremento medio del mercato che è del +33,83%). Nelle posizioni seguenti </w:t>
      </w:r>
      <w:r w:rsidR="00BD6A34" w:rsidRPr="008D7F32">
        <w:rPr>
          <w:rFonts w:asciiTheme="majorHAnsi" w:eastAsia="Times New Roman" w:hAnsiTheme="majorHAnsi" w:cstheme="majorHAnsi"/>
          <w:b/>
          <w:bCs/>
          <w:color w:val="000000"/>
        </w:rPr>
        <w:t>Fiat Doblo</w:t>
      </w:r>
      <w:r w:rsidR="00BD6A34">
        <w:rPr>
          <w:rFonts w:asciiTheme="majorHAnsi" w:eastAsia="Times New Roman" w:hAnsiTheme="majorHAnsi" w:cstheme="majorHAnsi"/>
          <w:color w:val="000000"/>
        </w:rPr>
        <w:t xml:space="preserve"> (+47,7%), </w:t>
      </w:r>
      <w:r w:rsidR="00BD6A34" w:rsidRPr="008D7F32">
        <w:rPr>
          <w:rFonts w:asciiTheme="majorHAnsi" w:eastAsia="Times New Roman" w:hAnsiTheme="majorHAnsi" w:cstheme="majorHAnsi"/>
          <w:b/>
          <w:bCs/>
          <w:color w:val="000000"/>
        </w:rPr>
        <w:t>Ford Transit</w:t>
      </w:r>
      <w:r w:rsidR="00BD6A34">
        <w:rPr>
          <w:rFonts w:asciiTheme="majorHAnsi" w:eastAsia="Times New Roman" w:hAnsiTheme="majorHAnsi" w:cstheme="majorHAnsi"/>
          <w:color w:val="000000"/>
        </w:rPr>
        <w:t xml:space="preserve"> (+507,82%), </w:t>
      </w:r>
      <w:r w:rsidR="00BD6A34" w:rsidRPr="008D7F32">
        <w:rPr>
          <w:rFonts w:asciiTheme="majorHAnsi" w:eastAsia="Times New Roman" w:hAnsiTheme="majorHAnsi" w:cstheme="majorHAnsi"/>
          <w:b/>
          <w:bCs/>
          <w:color w:val="000000"/>
        </w:rPr>
        <w:t>Fiat Panda</w:t>
      </w:r>
      <w:r w:rsidR="00BD6A34">
        <w:rPr>
          <w:rFonts w:asciiTheme="majorHAnsi" w:eastAsia="Times New Roman" w:hAnsiTheme="majorHAnsi" w:cstheme="majorHAnsi"/>
          <w:color w:val="000000"/>
        </w:rPr>
        <w:t xml:space="preserve"> (+25,44%) e </w:t>
      </w:r>
      <w:r w:rsidR="00BD6A34" w:rsidRPr="008D7F32">
        <w:rPr>
          <w:rFonts w:asciiTheme="majorHAnsi" w:eastAsia="Times New Roman" w:hAnsiTheme="majorHAnsi" w:cstheme="majorHAnsi"/>
          <w:b/>
          <w:bCs/>
          <w:color w:val="000000"/>
        </w:rPr>
        <w:t>Fiat Fiorino</w:t>
      </w:r>
      <w:r w:rsidR="00BD6A34">
        <w:rPr>
          <w:rFonts w:asciiTheme="majorHAnsi" w:eastAsia="Times New Roman" w:hAnsiTheme="majorHAnsi" w:cstheme="majorHAnsi"/>
          <w:color w:val="000000"/>
        </w:rPr>
        <w:t xml:space="preserve"> (-31,78%).</w:t>
      </w:r>
    </w:p>
    <w:p w14:paraId="180D1DFF" w14:textId="14090913" w:rsidR="001B44D6" w:rsidRPr="00B65608" w:rsidRDefault="00AD5964" w:rsidP="005D6804">
      <w:pPr>
        <w:shd w:val="clear" w:color="auto" w:fill="FFFFFF"/>
        <w:spacing w:after="225"/>
        <w:jc w:val="center"/>
        <w:rPr>
          <w:rFonts w:asciiTheme="majorHAnsi" w:eastAsia="Times New Roman" w:hAnsiTheme="majorHAnsi" w:cstheme="majorHAnsi"/>
          <w:color w:val="000000"/>
        </w:rPr>
      </w:pPr>
      <w:r>
        <w:rPr>
          <w:noProof/>
        </w:rPr>
        <w:drawing>
          <wp:inline distT="0" distB="0" distL="0" distR="0" wp14:anchorId="141AA162" wp14:editId="1056AF4C">
            <wp:extent cx="5866972" cy="2772978"/>
            <wp:effectExtent l="0" t="0" r="635" b="8890"/>
            <wp:docPr id="492503835" name="Immagine 8" descr="Immagine che contiene testo, schermata, numero, Carattere&#10;&#10;Descrizione generata automa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503835" name="Immagine 8" descr="Immagine che contiene testo, schermata, numero, Carattere&#10;&#10;Descrizione generata automaticamente">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0576" cy="2784134"/>
                    </a:xfrm>
                    <a:prstGeom prst="rect">
                      <a:avLst/>
                    </a:prstGeom>
                    <a:noFill/>
                    <a:ln>
                      <a:noFill/>
                    </a:ln>
                  </pic:spPr>
                </pic:pic>
              </a:graphicData>
            </a:graphic>
          </wp:inline>
        </w:drawing>
      </w:r>
    </w:p>
    <w:p w14:paraId="69DC7D53" w14:textId="77777777" w:rsidR="005D6804" w:rsidRDefault="005D6804" w:rsidP="003F407A">
      <w:pPr>
        <w:jc w:val="center"/>
        <w:rPr>
          <w:rFonts w:asciiTheme="majorHAnsi" w:hAnsiTheme="majorHAnsi" w:cstheme="majorHAnsi"/>
          <w:b/>
        </w:rPr>
      </w:pPr>
    </w:p>
    <w:p w14:paraId="32812738" w14:textId="76C4B0F1" w:rsidR="002C5A6F" w:rsidRPr="002C5A6F" w:rsidRDefault="002C5A6F" w:rsidP="002C5A6F">
      <w:pPr>
        <w:shd w:val="clear" w:color="auto" w:fill="FFFFFF"/>
        <w:spacing w:after="225"/>
        <w:jc w:val="both"/>
        <w:rPr>
          <w:rFonts w:asciiTheme="majorHAnsi" w:eastAsia="Times New Roman" w:hAnsiTheme="majorHAnsi" w:cstheme="majorHAnsi"/>
          <w:color w:val="000000"/>
        </w:rPr>
      </w:pPr>
      <w:r>
        <w:rPr>
          <w:rFonts w:asciiTheme="majorHAnsi" w:eastAsia="Times New Roman" w:hAnsiTheme="majorHAnsi" w:cstheme="majorHAnsi"/>
          <w:color w:val="000000"/>
        </w:rPr>
        <w:t xml:space="preserve">Nel </w:t>
      </w:r>
      <w:r w:rsidRPr="008D7F32">
        <w:rPr>
          <w:rFonts w:asciiTheme="majorHAnsi" w:eastAsia="Times New Roman" w:hAnsiTheme="majorHAnsi" w:cstheme="majorHAnsi"/>
          <w:b/>
          <w:bCs/>
          <w:color w:val="000000"/>
        </w:rPr>
        <w:t>noleggio a breve termine</w:t>
      </w:r>
      <w:r>
        <w:rPr>
          <w:rFonts w:asciiTheme="majorHAnsi" w:eastAsia="Times New Roman" w:hAnsiTheme="majorHAnsi" w:cstheme="majorHAnsi"/>
          <w:color w:val="000000"/>
        </w:rPr>
        <w:t xml:space="preserve"> le immatricolazioni più consistenti riguardano, tra le auto, </w:t>
      </w:r>
      <w:r w:rsidRPr="008D7F32">
        <w:rPr>
          <w:rFonts w:asciiTheme="majorHAnsi" w:eastAsia="Times New Roman" w:hAnsiTheme="majorHAnsi" w:cstheme="majorHAnsi"/>
          <w:b/>
          <w:bCs/>
          <w:color w:val="000000"/>
        </w:rPr>
        <w:t>Lancia Ypsilon</w:t>
      </w:r>
      <w:r>
        <w:rPr>
          <w:rFonts w:asciiTheme="majorHAnsi" w:eastAsia="Times New Roman" w:hAnsiTheme="majorHAnsi" w:cstheme="majorHAnsi"/>
          <w:color w:val="000000"/>
        </w:rPr>
        <w:t xml:space="preserve">, che ha quasi quadruplicato il numero di nuove targhe, </w:t>
      </w:r>
      <w:r w:rsidRPr="008D7F32">
        <w:rPr>
          <w:rFonts w:asciiTheme="majorHAnsi" w:eastAsia="Times New Roman" w:hAnsiTheme="majorHAnsi" w:cstheme="majorHAnsi"/>
          <w:b/>
          <w:bCs/>
          <w:color w:val="000000"/>
        </w:rPr>
        <w:t>Fiat 500X</w:t>
      </w:r>
      <w:r>
        <w:rPr>
          <w:rFonts w:asciiTheme="majorHAnsi" w:eastAsia="Times New Roman" w:hAnsiTheme="majorHAnsi" w:cstheme="majorHAnsi"/>
          <w:color w:val="000000"/>
        </w:rPr>
        <w:t xml:space="preserve"> (molto vicina a triplicare le immatricolazioni), </w:t>
      </w:r>
      <w:r w:rsidRPr="008D7F32">
        <w:rPr>
          <w:rFonts w:asciiTheme="majorHAnsi" w:eastAsia="Times New Roman" w:hAnsiTheme="majorHAnsi" w:cstheme="majorHAnsi"/>
          <w:b/>
          <w:bCs/>
          <w:color w:val="000000"/>
        </w:rPr>
        <w:t>Fiat Panda</w:t>
      </w:r>
      <w:r>
        <w:rPr>
          <w:rFonts w:asciiTheme="majorHAnsi" w:eastAsia="Times New Roman" w:hAnsiTheme="majorHAnsi" w:cstheme="majorHAnsi"/>
          <w:color w:val="000000"/>
        </w:rPr>
        <w:t xml:space="preserve"> (in leggero regresso: -7,19%), </w:t>
      </w:r>
      <w:r w:rsidRPr="008D7F32">
        <w:rPr>
          <w:rFonts w:asciiTheme="majorHAnsi" w:eastAsia="Times New Roman" w:hAnsiTheme="majorHAnsi" w:cstheme="majorHAnsi"/>
          <w:b/>
          <w:bCs/>
          <w:color w:val="000000"/>
        </w:rPr>
        <w:t>Fiat 500</w:t>
      </w:r>
      <w:r>
        <w:rPr>
          <w:rFonts w:asciiTheme="majorHAnsi" w:eastAsia="Times New Roman" w:hAnsiTheme="majorHAnsi" w:cstheme="majorHAnsi"/>
          <w:color w:val="000000"/>
        </w:rPr>
        <w:t xml:space="preserve"> (+59,36%) e </w:t>
      </w:r>
      <w:r w:rsidRPr="008D7F32">
        <w:rPr>
          <w:rFonts w:asciiTheme="majorHAnsi" w:eastAsia="Times New Roman" w:hAnsiTheme="majorHAnsi" w:cstheme="majorHAnsi"/>
          <w:b/>
          <w:bCs/>
          <w:color w:val="000000"/>
        </w:rPr>
        <w:t>Jeep Renegade</w:t>
      </w:r>
      <w:r>
        <w:rPr>
          <w:rFonts w:asciiTheme="majorHAnsi" w:eastAsia="Times New Roman" w:hAnsiTheme="majorHAnsi" w:cstheme="majorHAnsi"/>
          <w:color w:val="000000"/>
        </w:rPr>
        <w:t xml:space="preserve"> (-22,07%). In ambito </w:t>
      </w:r>
      <w:r w:rsidRPr="008D7F32">
        <w:rPr>
          <w:rFonts w:asciiTheme="majorHAnsi" w:eastAsia="Times New Roman" w:hAnsiTheme="majorHAnsi" w:cstheme="majorHAnsi"/>
          <w:b/>
          <w:bCs/>
          <w:color w:val="000000"/>
        </w:rPr>
        <w:t>LCV</w:t>
      </w:r>
      <w:r>
        <w:rPr>
          <w:rFonts w:asciiTheme="majorHAnsi" w:eastAsia="Times New Roman" w:hAnsiTheme="majorHAnsi" w:cstheme="majorHAnsi"/>
          <w:color w:val="000000"/>
        </w:rPr>
        <w:t xml:space="preserve">, consistenti incrementi per tutti i veicoli della Top 5. Dal primo al quinto posto: </w:t>
      </w:r>
      <w:r w:rsidRPr="008D7F32">
        <w:rPr>
          <w:rFonts w:asciiTheme="majorHAnsi" w:eastAsia="Times New Roman" w:hAnsiTheme="majorHAnsi" w:cstheme="majorHAnsi"/>
          <w:b/>
          <w:bCs/>
          <w:color w:val="000000"/>
        </w:rPr>
        <w:t>Iveco Daily, Fiat Ducato, Peugeot Boxer, Isuzu N Series</w:t>
      </w:r>
      <w:r>
        <w:rPr>
          <w:rFonts w:asciiTheme="majorHAnsi" w:eastAsia="Times New Roman" w:hAnsiTheme="majorHAnsi" w:cstheme="majorHAnsi"/>
          <w:b/>
          <w:bCs/>
          <w:color w:val="000000"/>
        </w:rPr>
        <w:t xml:space="preserve"> </w:t>
      </w:r>
      <w:r w:rsidRPr="006902AB">
        <w:rPr>
          <w:rFonts w:asciiTheme="majorHAnsi" w:eastAsia="Times New Roman" w:hAnsiTheme="majorHAnsi" w:cstheme="majorHAnsi"/>
          <w:color w:val="000000"/>
        </w:rPr>
        <w:t>e</w:t>
      </w:r>
      <w:r w:rsidRPr="008D7F32">
        <w:rPr>
          <w:rFonts w:asciiTheme="majorHAnsi" w:eastAsia="Times New Roman" w:hAnsiTheme="majorHAnsi" w:cstheme="majorHAnsi"/>
          <w:b/>
          <w:bCs/>
          <w:color w:val="000000"/>
        </w:rPr>
        <w:t xml:space="preserve"> Renault Trafic</w:t>
      </w:r>
      <w:r>
        <w:rPr>
          <w:rFonts w:asciiTheme="majorHAnsi" w:eastAsia="Times New Roman" w:hAnsiTheme="majorHAnsi" w:cstheme="majorHAnsi"/>
          <w:color w:val="000000"/>
        </w:rPr>
        <w:t>.</w:t>
      </w:r>
    </w:p>
    <w:p w14:paraId="3F85674D" w14:textId="057B3443" w:rsidR="00B41C3C" w:rsidRDefault="00BB2B29" w:rsidP="003F407A">
      <w:pPr>
        <w:jc w:val="center"/>
        <w:rPr>
          <w:rFonts w:asciiTheme="majorHAnsi" w:hAnsiTheme="majorHAnsi" w:cstheme="majorHAnsi"/>
          <w:b/>
        </w:rPr>
      </w:pPr>
      <w:r>
        <w:rPr>
          <w:noProof/>
        </w:rPr>
        <w:drawing>
          <wp:inline distT="0" distB="0" distL="0" distR="0" wp14:anchorId="4DC4AE87" wp14:editId="688FA2AA">
            <wp:extent cx="5868000" cy="2772000"/>
            <wp:effectExtent l="0" t="0" r="0" b="0"/>
            <wp:docPr id="650547792" name="Immagine 12" descr="Immagine che contiene testo, schermata, numero, Carattere&#10;&#10;Descrizione generata automa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547792" name="Immagine 12" descr="Immagine che contiene testo, schermata, numero, Carattere&#10;&#10;Descrizione generata automaticamente">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8000" cy="2772000"/>
                    </a:xfrm>
                    <a:prstGeom prst="rect">
                      <a:avLst/>
                    </a:prstGeom>
                    <a:noFill/>
                    <a:ln>
                      <a:noFill/>
                    </a:ln>
                  </pic:spPr>
                </pic:pic>
              </a:graphicData>
            </a:graphic>
          </wp:inline>
        </w:drawing>
      </w:r>
    </w:p>
    <w:p w14:paraId="6F4D9CF4" w14:textId="77777777" w:rsidR="003F407A" w:rsidRPr="003F407A" w:rsidRDefault="003F407A" w:rsidP="005D6804">
      <w:pPr>
        <w:rPr>
          <w:rFonts w:asciiTheme="majorHAnsi" w:hAnsiTheme="majorHAnsi" w:cstheme="majorHAnsi"/>
          <w:b/>
        </w:rPr>
      </w:pPr>
    </w:p>
    <w:p w14:paraId="49087AA9" w14:textId="44715D2D" w:rsidR="00B65608" w:rsidRDefault="00B65608" w:rsidP="00B65608">
      <w:pPr>
        <w:jc w:val="both"/>
        <w:rPr>
          <w:rFonts w:asciiTheme="majorHAnsi" w:hAnsiTheme="majorHAnsi" w:cstheme="majorHAnsi"/>
          <w:b/>
        </w:rPr>
      </w:pPr>
      <w:r w:rsidRPr="00B65608">
        <w:rPr>
          <w:rFonts w:asciiTheme="majorHAnsi" w:hAnsiTheme="majorHAnsi" w:cstheme="majorHAnsi"/>
          <w:b/>
        </w:rPr>
        <w:t xml:space="preserve">L’ANALISI PER </w:t>
      </w:r>
      <w:r>
        <w:rPr>
          <w:rFonts w:asciiTheme="majorHAnsi" w:hAnsiTheme="majorHAnsi" w:cstheme="majorHAnsi"/>
          <w:b/>
        </w:rPr>
        <w:t>UTILIZZATORE</w:t>
      </w:r>
    </w:p>
    <w:p w14:paraId="4C104F32" w14:textId="77777777" w:rsidR="006902AB" w:rsidRPr="00B65608" w:rsidRDefault="006902AB" w:rsidP="00B65608">
      <w:pPr>
        <w:jc w:val="both"/>
        <w:rPr>
          <w:rFonts w:asciiTheme="majorHAnsi" w:hAnsiTheme="majorHAnsi" w:cstheme="majorHAnsi"/>
          <w:b/>
        </w:rPr>
      </w:pPr>
    </w:p>
    <w:p w14:paraId="655675A4" w14:textId="37BFBB55" w:rsidR="00B65608" w:rsidRPr="00BD6A34" w:rsidRDefault="00BE4D3F" w:rsidP="00B65608">
      <w:pPr>
        <w:shd w:val="clear" w:color="auto" w:fill="FFFFFF"/>
        <w:spacing w:after="225"/>
        <w:jc w:val="both"/>
        <w:rPr>
          <w:rFonts w:asciiTheme="majorHAnsi" w:eastAsia="Times New Roman" w:hAnsiTheme="majorHAnsi" w:cstheme="majorHAnsi"/>
          <w:color w:val="000000"/>
        </w:rPr>
      </w:pPr>
      <w:r>
        <w:rPr>
          <w:rFonts w:asciiTheme="majorHAnsi" w:eastAsia="Times New Roman" w:hAnsiTheme="majorHAnsi" w:cstheme="majorHAnsi"/>
          <w:color w:val="000000"/>
        </w:rPr>
        <w:t>Nel noleggio a lungo termine, c</w:t>
      </w:r>
      <w:r w:rsidR="00BD6A34" w:rsidRPr="00BD6A34">
        <w:rPr>
          <w:rFonts w:asciiTheme="majorHAnsi" w:eastAsia="Times New Roman" w:hAnsiTheme="majorHAnsi" w:cstheme="majorHAnsi"/>
          <w:color w:val="000000"/>
        </w:rPr>
        <w:t xml:space="preserve">onfrontando </w:t>
      </w:r>
      <w:r>
        <w:rPr>
          <w:rFonts w:asciiTheme="majorHAnsi" w:eastAsia="Times New Roman" w:hAnsiTheme="majorHAnsi" w:cstheme="majorHAnsi"/>
          <w:color w:val="000000"/>
        </w:rPr>
        <w:t>le quote</w:t>
      </w:r>
      <w:r w:rsidR="00BD6A34" w:rsidRPr="00BD6A34">
        <w:rPr>
          <w:rFonts w:asciiTheme="majorHAnsi" w:eastAsia="Times New Roman" w:hAnsiTheme="majorHAnsi" w:cstheme="majorHAnsi"/>
          <w:color w:val="000000"/>
        </w:rPr>
        <w:t xml:space="preserve"> di mercat</w:t>
      </w:r>
      <w:r w:rsidR="00BD6A34">
        <w:rPr>
          <w:rFonts w:asciiTheme="majorHAnsi" w:eastAsia="Times New Roman" w:hAnsiTheme="majorHAnsi" w:cstheme="majorHAnsi"/>
          <w:color w:val="000000"/>
        </w:rPr>
        <w:t xml:space="preserve">o del </w:t>
      </w:r>
      <w:r w:rsidR="00BD6A34" w:rsidRPr="008D7F32">
        <w:rPr>
          <w:rFonts w:asciiTheme="majorHAnsi" w:eastAsia="Times New Roman" w:hAnsiTheme="majorHAnsi" w:cstheme="majorHAnsi"/>
          <w:b/>
          <w:bCs/>
          <w:color w:val="000000"/>
        </w:rPr>
        <w:t>noleggio ai privati</w:t>
      </w:r>
      <w:r w:rsidR="00BD6A34">
        <w:rPr>
          <w:rFonts w:asciiTheme="majorHAnsi" w:eastAsia="Times New Roman" w:hAnsiTheme="majorHAnsi" w:cstheme="majorHAnsi"/>
          <w:color w:val="000000"/>
        </w:rPr>
        <w:t xml:space="preserve"> </w:t>
      </w:r>
      <w:r w:rsidR="007F66DD">
        <w:rPr>
          <w:rFonts w:asciiTheme="majorHAnsi" w:eastAsia="Times New Roman" w:hAnsiTheme="majorHAnsi" w:cstheme="majorHAnsi"/>
          <w:color w:val="000000"/>
        </w:rPr>
        <w:t xml:space="preserve">(con e senza P.Iva) </w:t>
      </w:r>
      <w:r w:rsidR="00BD6A34">
        <w:rPr>
          <w:rFonts w:asciiTheme="majorHAnsi" w:eastAsia="Times New Roman" w:hAnsiTheme="majorHAnsi" w:cstheme="majorHAnsi"/>
          <w:color w:val="000000"/>
        </w:rPr>
        <w:t xml:space="preserve">e </w:t>
      </w:r>
      <w:r>
        <w:rPr>
          <w:rFonts w:asciiTheme="majorHAnsi" w:eastAsia="Times New Roman" w:hAnsiTheme="majorHAnsi" w:cstheme="majorHAnsi"/>
          <w:color w:val="000000"/>
        </w:rPr>
        <w:t xml:space="preserve">di </w:t>
      </w:r>
      <w:r w:rsidR="00BD6A34">
        <w:rPr>
          <w:rFonts w:asciiTheme="majorHAnsi" w:eastAsia="Times New Roman" w:hAnsiTheme="majorHAnsi" w:cstheme="majorHAnsi"/>
          <w:color w:val="000000"/>
        </w:rPr>
        <w:t xml:space="preserve">quello </w:t>
      </w:r>
      <w:r w:rsidR="00BD6A34" w:rsidRPr="008D7F32">
        <w:rPr>
          <w:rFonts w:asciiTheme="majorHAnsi" w:eastAsia="Times New Roman" w:hAnsiTheme="majorHAnsi" w:cstheme="majorHAnsi"/>
          <w:b/>
          <w:bCs/>
          <w:color w:val="000000"/>
        </w:rPr>
        <w:t>aziendale</w:t>
      </w:r>
      <w:r w:rsidR="00BD6A34">
        <w:rPr>
          <w:rFonts w:asciiTheme="majorHAnsi" w:eastAsia="Times New Roman" w:hAnsiTheme="majorHAnsi" w:cstheme="majorHAnsi"/>
          <w:color w:val="000000"/>
        </w:rPr>
        <w:t xml:space="preserve"> del primo trimestre di quest’anno con i quattro anni precedenti, si nota che la </w:t>
      </w:r>
      <w:r w:rsidR="00BD6A34" w:rsidRPr="008D7F32">
        <w:rPr>
          <w:rFonts w:asciiTheme="majorHAnsi" w:eastAsia="Times New Roman" w:hAnsiTheme="majorHAnsi" w:cstheme="majorHAnsi"/>
          <w:b/>
          <w:bCs/>
          <w:color w:val="000000"/>
        </w:rPr>
        <w:t>quota dei privati</w:t>
      </w:r>
      <w:r w:rsidR="00BD6A34">
        <w:rPr>
          <w:rFonts w:asciiTheme="majorHAnsi" w:eastAsia="Times New Roman" w:hAnsiTheme="majorHAnsi" w:cstheme="majorHAnsi"/>
          <w:color w:val="000000"/>
        </w:rPr>
        <w:t xml:space="preserve">, in crescita </w:t>
      </w:r>
      <w:r w:rsidR="00E24FDF">
        <w:rPr>
          <w:rFonts w:asciiTheme="majorHAnsi" w:eastAsia="Times New Roman" w:hAnsiTheme="majorHAnsi" w:cstheme="majorHAnsi"/>
          <w:color w:val="000000"/>
        </w:rPr>
        <w:t xml:space="preserve">tra il 2020 e il 2021, si è poi </w:t>
      </w:r>
      <w:r w:rsidR="005207D0">
        <w:rPr>
          <w:rFonts w:asciiTheme="majorHAnsi" w:eastAsia="Times New Roman" w:hAnsiTheme="majorHAnsi" w:cstheme="majorHAnsi"/>
          <w:color w:val="000000"/>
        </w:rPr>
        <w:t xml:space="preserve">ridotta </w:t>
      </w:r>
      <w:r w:rsidR="00E24FDF">
        <w:rPr>
          <w:rFonts w:asciiTheme="majorHAnsi" w:eastAsia="Times New Roman" w:hAnsiTheme="majorHAnsi" w:cstheme="majorHAnsi"/>
          <w:color w:val="000000"/>
        </w:rPr>
        <w:t xml:space="preserve">di oltre 4 punti nel 2022, ritornando allo stesso livello del 2020, per poi scendere in modo ancora più significativo nel 2023 (-4,5%), </w:t>
      </w:r>
      <w:r w:rsidR="00221CDC">
        <w:rPr>
          <w:rFonts w:asciiTheme="majorHAnsi" w:eastAsia="Times New Roman" w:hAnsiTheme="majorHAnsi" w:cstheme="majorHAnsi"/>
          <w:color w:val="000000"/>
        </w:rPr>
        <w:t>e infine</w:t>
      </w:r>
      <w:r w:rsidR="00E24FDF">
        <w:rPr>
          <w:rFonts w:asciiTheme="majorHAnsi" w:eastAsia="Times New Roman" w:hAnsiTheme="majorHAnsi" w:cstheme="majorHAnsi"/>
          <w:color w:val="000000"/>
        </w:rPr>
        <w:t xml:space="preserve"> risalire al 16,7% quest’anno. </w:t>
      </w:r>
      <w:r w:rsidR="00E24FDF" w:rsidRPr="008D7F32">
        <w:rPr>
          <w:rFonts w:asciiTheme="majorHAnsi" w:eastAsia="Times New Roman" w:hAnsiTheme="majorHAnsi" w:cstheme="majorHAnsi"/>
          <w:b/>
          <w:bCs/>
          <w:color w:val="000000"/>
        </w:rPr>
        <w:t>Oltre 4 noleggi su 5 sono appannaggio dei clienti business</w:t>
      </w:r>
      <w:r w:rsidR="00E24FDF">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w:t>
      </w:r>
      <w:r w:rsidRPr="00BE4D3F">
        <w:rPr>
          <w:rFonts w:asciiTheme="majorHAnsi" w:eastAsia="Times New Roman" w:hAnsiTheme="majorHAnsi" w:cstheme="majorHAnsi"/>
          <w:color w:val="000000"/>
        </w:rPr>
        <w:t>Anche in questo caso il relativo business è stato inficiato dalla carenza degli incentivi e dall</w:t>
      </w:r>
      <w:r>
        <w:rPr>
          <w:rFonts w:asciiTheme="majorHAnsi" w:eastAsia="Times New Roman" w:hAnsiTheme="majorHAnsi" w:cstheme="majorHAnsi"/>
          <w:color w:val="000000"/>
        </w:rPr>
        <w:t>’</w:t>
      </w:r>
      <w:r w:rsidRPr="00BE4D3F">
        <w:rPr>
          <w:rFonts w:asciiTheme="majorHAnsi" w:eastAsia="Times New Roman" w:hAnsiTheme="majorHAnsi" w:cstheme="majorHAnsi"/>
          <w:color w:val="000000"/>
        </w:rPr>
        <w:t>aumento dei prezzi dei veicoli commercializzati</w:t>
      </w:r>
      <w:r>
        <w:rPr>
          <w:rFonts w:asciiTheme="majorHAnsi" w:eastAsia="Times New Roman" w:hAnsiTheme="majorHAnsi" w:cstheme="majorHAnsi"/>
          <w:color w:val="000000"/>
        </w:rPr>
        <w:t>.</w:t>
      </w:r>
    </w:p>
    <w:p w14:paraId="2ABC786F" w14:textId="7E835CD5" w:rsidR="003F407A" w:rsidRPr="00B65608" w:rsidRDefault="00E131DF" w:rsidP="006E17EC">
      <w:pPr>
        <w:jc w:val="center"/>
        <w:rPr>
          <w:rFonts w:asciiTheme="majorHAnsi" w:hAnsiTheme="majorHAnsi" w:cstheme="majorHAnsi"/>
          <w:color w:val="1F497D" w:themeColor="text2"/>
        </w:rPr>
      </w:pPr>
      <w:r>
        <w:rPr>
          <w:noProof/>
        </w:rPr>
        <w:drawing>
          <wp:inline distT="0" distB="0" distL="0" distR="0" wp14:anchorId="7828891A" wp14:editId="69604C77">
            <wp:extent cx="6475730" cy="1084580"/>
            <wp:effectExtent l="0" t="0" r="1270" b="1270"/>
            <wp:docPr id="2076681444" name="Immagine 15" descr="Immagine che contiene testo, schermata, Carattere, numero&#10;&#10;Descrizione generata automa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681444" name="Immagine 15" descr="Immagine che contiene testo, schermata, Carattere, numero&#10;&#10;Descrizione generata automaticamente">
                      <a:hlinkClick r:id="rId1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5730" cy="1084580"/>
                    </a:xfrm>
                    <a:prstGeom prst="rect">
                      <a:avLst/>
                    </a:prstGeom>
                    <a:noFill/>
                    <a:ln>
                      <a:noFill/>
                    </a:ln>
                  </pic:spPr>
                </pic:pic>
              </a:graphicData>
            </a:graphic>
          </wp:inline>
        </w:drawing>
      </w:r>
    </w:p>
    <w:p w14:paraId="5E6E82A2" w14:textId="77777777" w:rsidR="005D6804" w:rsidRPr="00B65608" w:rsidRDefault="005D6804" w:rsidP="00004039">
      <w:pPr>
        <w:jc w:val="both"/>
        <w:rPr>
          <w:rFonts w:asciiTheme="majorHAnsi" w:hAnsiTheme="majorHAnsi" w:cstheme="majorHAnsi"/>
          <w:b/>
        </w:rPr>
      </w:pPr>
    </w:p>
    <w:p w14:paraId="5820BC33" w14:textId="73D7A7E9" w:rsidR="003F407A" w:rsidRDefault="003F407A" w:rsidP="003F407A">
      <w:pPr>
        <w:jc w:val="both"/>
        <w:rPr>
          <w:rFonts w:asciiTheme="majorHAnsi" w:hAnsiTheme="majorHAnsi" w:cstheme="majorHAnsi"/>
          <w:b/>
        </w:rPr>
      </w:pPr>
      <w:r w:rsidRPr="00B65608">
        <w:rPr>
          <w:rFonts w:asciiTheme="majorHAnsi" w:hAnsiTheme="majorHAnsi" w:cstheme="majorHAnsi"/>
          <w:b/>
        </w:rPr>
        <w:t xml:space="preserve">L’ANALISI </w:t>
      </w:r>
      <w:r>
        <w:rPr>
          <w:rFonts w:asciiTheme="majorHAnsi" w:hAnsiTheme="majorHAnsi" w:cstheme="majorHAnsi"/>
          <w:b/>
        </w:rPr>
        <w:t>PER ALIMENTAZIONE</w:t>
      </w:r>
    </w:p>
    <w:p w14:paraId="335180B8" w14:textId="77777777" w:rsidR="00D14157" w:rsidRPr="00B65608" w:rsidRDefault="00D14157" w:rsidP="003F407A">
      <w:pPr>
        <w:jc w:val="both"/>
        <w:rPr>
          <w:rFonts w:asciiTheme="majorHAnsi" w:hAnsiTheme="majorHAnsi" w:cstheme="majorHAnsi"/>
          <w:b/>
        </w:rPr>
      </w:pPr>
    </w:p>
    <w:p w14:paraId="3D5EF73F" w14:textId="5432D382" w:rsidR="00BC3DD3" w:rsidRDefault="00BC3DD3" w:rsidP="003F407A">
      <w:pPr>
        <w:shd w:val="clear" w:color="auto" w:fill="FFFFFF"/>
        <w:spacing w:after="225"/>
        <w:jc w:val="both"/>
        <w:rPr>
          <w:rFonts w:asciiTheme="majorHAnsi" w:eastAsia="Times New Roman" w:hAnsiTheme="majorHAnsi" w:cstheme="majorHAnsi"/>
          <w:color w:val="000000"/>
        </w:rPr>
      </w:pPr>
      <w:r>
        <w:rPr>
          <w:rFonts w:asciiTheme="majorHAnsi" w:eastAsia="Times New Roman" w:hAnsiTheme="majorHAnsi" w:cstheme="majorHAnsi"/>
          <w:color w:val="000000"/>
        </w:rPr>
        <w:t xml:space="preserve">Nel </w:t>
      </w:r>
      <w:r w:rsidRPr="008D7F32">
        <w:rPr>
          <w:rFonts w:asciiTheme="majorHAnsi" w:eastAsia="Times New Roman" w:hAnsiTheme="majorHAnsi" w:cstheme="majorHAnsi"/>
          <w:b/>
          <w:bCs/>
          <w:color w:val="000000"/>
        </w:rPr>
        <w:t>noleggio a lungo termine</w:t>
      </w:r>
      <w:r>
        <w:rPr>
          <w:rFonts w:asciiTheme="majorHAnsi" w:eastAsia="Times New Roman" w:hAnsiTheme="majorHAnsi" w:cstheme="majorHAnsi"/>
          <w:color w:val="000000"/>
        </w:rPr>
        <w:t xml:space="preserve"> l’alimentazione più diffusa è quella a </w:t>
      </w:r>
      <w:r w:rsidRPr="008D7F32">
        <w:rPr>
          <w:rFonts w:asciiTheme="majorHAnsi" w:eastAsia="Times New Roman" w:hAnsiTheme="majorHAnsi" w:cstheme="majorHAnsi"/>
          <w:b/>
          <w:bCs/>
          <w:color w:val="000000"/>
        </w:rPr>
        <w:t>benzina</w:t>
      </w:r>
      <w:r>
        <w:rPr>
          <w:rFonts w:asciiTheme="majorHAnsi" w:eastAsia="Times New Roman" w:hAnsiTheme="majorHAnsi" w:cstheme="majorHAnsi"/>
          <w:color w:val="000000"/>
        </w:rPr>
        <w:t xml:space="preserve"> (4</w:t>
      </w:r>
      <w:r w:rsidR="00F2740D">
        <w:rPr>
          <w:rFonts w:asciiTheme="majorHAnsi" w:eastAsia="Times New Roman" w:hAnsiTheme="majorHAnsi" w:cstheme="majorHAnsi"/>
          <w:color w:val="000000"/>
        </w:rPr>
        <w:t>1</w:t>
      </w:r>
      <w:r>
        <w:rPr>
          <w:rFonts w:asciiTheme="majorHAnsi" w:eastAsia="Times New Roman" w:hAnsiTheme="majorHAnsi" w:cstheme="majorHAnsi"/>
          <w:color w:val="000000"/>
        </w:rPr>
        <w:t>,</w:t>
      </w:r>
      <w:r w:rsidR="00F2740D">
        <w:rPr>
          <w:rFonts w:asciiTheme="majorHAnsi" w:eastAsia="Times New Roman" w:hAnsiTheme="majorHAnsi" w:cstheme="majorHAnsi"/>
          <w:color w:val="000000"/>
        </w:rPr>
        <w:t>1</w:t>
      </w:r>
      <w:r>
        <w:rPr>
          <w:rFonts w:asciiTheme="majorHAnsi" w:eastAsia="Times New Roman" w:hAnsiTheme="majorHAnsi" w:cstheme="majorHAnsi"/>
          <w:color w:val="000000"/>
        </w:rPr>
        <w:t xml:space="preserve">% di market share, comprese le </w:t>
      </w:r>
      <w:r w:rsidRPr="008D7F32">
        <w:rPr>
          <w:rFonts w:asciiTheme="majorHAnsi" w:eastAsia="Times New Roman" w:hAnsiTheme="majorHAnsi" w:cstheme="majorHAnsi"/>
          <w:b/>
          <w:bCs/>
          <w:color w:val="000000"/>
        </w:rPr>
        <w:t>mild hybrid</w:t>
      </w:r>
      <w:r>
        <w:rPr>
          <w:rFonts w:asciiTheme="majorHAnsi" w:eastAsia="Times New Roman" w:hAnsiTheme="majorHAnsi" w:cstheme="majorHAnsi"/>
          <w:color w:val="000000"/>
        </w:rPr>
        <w:t xml:space="preserve">, in crescita </w:t>
      </w:r>
      <w:r w:rsidR="006902AB">
        <w:rPr>
          <w:rFonts w:asciiTheme="majorHAnsi" w:eastAsia="Times New Roman" w:hAnsiTheme="majorHAnsi" w:cstheme="majorHAnsi"/>
          <w:color w:val="000000"/>
        </w:rPr>
        <w:t xml:space="preserve">complessiva </w:t>
      </w:r>
      <w:r>
        <w:rPr>
          <w:rFonts w:asciiTheme="majorHAnsi" w:eastAsia="Times New Roman" w:hAnsiTheme="majorHAnsi" w:cstheme="majorHAnsi"/>
          <w:color w:val="000000"/>
        </w:rPr>
        <w:t xml:space="preserve">di oltre </w:t>
      </w:r>
      <w:r w:rsidR="00AB4FD9">
        <w:rPr>
          <w:rFonts w:asciiTheme="majorHAnsi" w:eastAsia="Times New Roman" w:hAnsiTheme="majorHAnsi" w:cstheme="majorHAnsi"/>
          <w:color w:val="000000"/>
        </w:rPr>
        <w:t>2</w:t>
      </w:r>
      <w:r>
        <w:rPr>
          <w:rFonts w:asciiTheme="majorHAnsi" w:eastAsia="Times New Roman" w:hAnsiTheme="majorHAnsi" w:cstheme="majorHAnsi"/>
          <w:color w:val="000000"/>
        </w:rPr>
        <w:t>,</w:t>
      </w:r>
      <w:r w:rsidR="00AB4FD9">
        <w:rPr>
          <w:rFonts w:asciiTheme="majorHAnsi" w:eastAsia="Times New Roman" w:hAnsiTheme="majorHAnsi" w:cstheme="majorHAnsi"/>
          <w:color w:val="000000"/>
        </w:rPr>
        <w:t>3</w:t>
      </w:r>
      <w:r>
        <w:rPr>
          <w:rFonts w:asciiTheme="majorHAnsi" w:eastAsia="Times New Roman" w:hAnsiTheme="majorHAnsi" w:cstheme="majorHAnsi"/>
          <w:color w:val="000000"/>
        </w:rPr>
        <w:t xml:space="preserve"> punti percentuali). A seguire il </w:t>
      </w:r>
      <w:r w:rsidRPr="008D7F32">
        <w:rPr>
          <w:rFonts w:asciiTheme="majorHAnsi" w:eastAsia="Times New Roman" w:hAnsiTheme="majorHAnsi" w:cstheme="majorHAnsi"/>
          <w:b/>
          <w:bCs/>
          <w:color w:val="000000"/>
        </w:rPr>
        <w:t>diesel</w:t>
      </w:r>
      <w:r w:rsidR="008D7F32">
        <w:rPr>
          <w:rFonts w:asciiTheme="majorHAnsi" w:eastAsia="Times New Roman" w:hAnsiTheme="majorHAnsi" w:cstheme="majorHAnsi"/>
          <w:color w:val="000000"/>
        </w:rPr>
        <w:t xml:space="preserve"> (+</w:t>
      </w:r>
      <w:r w:rsidR="008D7F32" w:rsidRPr="008D7F32">
        <w:rPr>
          <w:rFonts w:asciiTheme="majorHAnsi" w:eastAsia="Times New Roman" w:hAnsiTheme="majorHAnsi" w:cstheme="majorHAnsi"/>
          <w:b/>
          <w:bCs/>
          <w:color w:val="000000"/>
        </w:rPr>
        <w:t>mild hybrid</w:t>
      </w:r>
      <w:r w:rsidR="008D7F32">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scavalcato quest’anno dal </w:t>
      </w:r>
      <w:r w:rsidRPr="008D7F32">
        <w:rPr>
          <w:rFonts w:asciiTheme="majorHAnsi" w:eastAsia="Times New Roman" w:hAnsiTheme="majorHAnsi" w:cstheme="majorHAnsi"/>
          <w:b/>
          <w:bCs/>
          <w:color w:val="000000"/>
        </w:rPr>
        <w:t>benzina</w:t>
      </w:r>
      <w:r>
        <w:rPr>
          <w:rFonts w:asciiTheme="majorHAnsi" w:eastAsia="Times New Roman" w:hAnsiTheme="majorHAnsi" w:cstheme="majorHAnsi"/>
          <w:color w:val="000000"/>
        </w:rPr>
        <w:t>, che nel primo trimestre ha conquistato una quota di mercato del 36,</w:t>
      </w:r>
      <w:r w:rsidR="009813EF">
        <w:rPr>
          <w:rFonts w:asciiTheme="majorHAnsi" w:eastAsia="Times New Roman" w:hAnsiTheme="majorHAnsi" w:cstheme="majorHAnsi"/>
          <w:color w:val="000000"/>
        </w:rPr>
        <w:t>21</w:t>
      </w:r>
      <w:r>
        <w:rPr>
          <w:rFonts w:asciiTheme="majorHAnsi" w:eastAsia="Times New Roman" w:hAnsiTheme="majorHAnsi" w:cstheme="majorHAnsi"/>
          <w:color w:val="000000"/>
        </w:rPr>
        <w:t xml:space="preserve">%, </w:t>
      </w:r>
      <w:r w:rsidR="006902AB">
        <w:rPr>
          <w:rFonts w:asciiTheme="majorHAnsi" w:eastAsia="Times New Roman" w:hAnsiTheme="majorHAnsi" w:cstheme="majorHAnsi"/>
          <w:color w:val="000000"/>
        </w:rPr>
        <w:t xml:space="preserve">però </w:t>
      </w:r>
      <w:r>
        <w:rPr>
          <w:rFonts w:asciiTheme="majorHAnsi" w:eastAsia="Times New Roman" w:hAnsiTheme="majorHAnsi" w:cstheme="majorHAnsi"/>
          <w:color w:val="000000"/>
        </w:rPr>
        <w:t xml:space="preserve">in calo di oltre </w:t>
      </w:r>
      <w:r w:rsidR="009813EF">
        <w:rPr>
          <w:rFonts w:asciiTheme="majorHAnsi" w:eastAsia="Times New Roman" w:hAnsiTheme="majorHAnsi" w:cstheme="majorHAnsi"/>
          <w:color w:val="000000"/>
        </w:rPr>
        <w:t>6</w:t>
      </w:r>
      <w:r>
        <w:rPr>
          <w:rFonts w:asciiTheme="majorHAnsi" w:eastAsia="Times New Roman" w:hAnsiTheme="majorHAnsi" w:cstheme="majorHAnsi"/>
          <w:color w:val="000000"/>
        </w:rPr>
        <w:t xml:space="preserve"> punti. Le </w:t>
      </w:r>
      <w:r w:rsidRPr="008D7F32">
        <w:rPr>
          <w:rFonts w:asciiTheme="majorHAnsi" w:eastAsia="Times New Roman" w:hAnsiTheme="majorHAnsi" w:cstheme="majorHAnsi"/>
          <w:b/>
          <w:bCs/>
          <w:color w:val="000000"/>
        </w:rPr>
        <w:t>“ibride vere”</w:t>
      </w:r>
      <w:r>
        <w:rPr>
          <w:rFonts w:asciiTheme="majorHAnsi" w:eastAsia="Times New Roman" w:hAnsiTheme="majorHAnsi" w:cstheme="majorHAnsi"/>
          <w:color w:val="000000"/>
        </w:rPr>
        <w:t xml:space="preserve">, ossia </w:t>
      </w:r>
      <w:r w:rsidRPr="008D7F32">
        <w:rPr>
          <w:rFonts w:asciiTheme="majorHAnsi" w:eastAsia="Times New Roman" w:hAnsiTheme="majorHAnsi" w:cstheme="majorHAnsi"/>
          <w:b/>
          <w:bCs/>
          <w:color w:val="000000"/>
        </w:rPr>
        <w:t>full e plug-in</w:t>
      </w:r>
      <w:r>
        <w:rPr>
          <w:rFonts w:asciiTheme="majorHAnsi" w:eastAsia="Times New Roman" w:hAnsiTheme="majorHAnsi" w:cstheme="majorHAnsi"/>
          <w:color w:val="000000"/>
        </w:rPr>
        <w:t>, sono cumulativamente al 1</w:t>
      </w:r>
      <w:r w:rsidR="009813EF">
        <w:rPr>
          <w:rFonts w:asciiTheme="majorHAnsi" w:eastAsia="Times New Roman" w:hAnsiTheme="majorHAnsi" w:cstheme="majorHAnsi"/>
          <w:color w:val="000000"/>
        </w:rPr>
        <w:t>8</w:t>
      </w:r>
      <w:r>
        <w:rPr>
          <w:rFonts w:asciiTheme="majorHAnsi" w:eastAsia="Times New Roman" w:hAnsiTheme="majorHAnsi" w:cstheme="majorHAnsi"/>
          <w:color w:val="000000"/>
        </w:rPr>
        <w:t xml:space="preserve">% del mercato. </w:t>
      </w:r>
      <w:r w:rsidR="00584FEC">
        <w:rPr>
          <w:rFonts w:asciiTheme="majorHAnsi" w:eastAsia="Times New Roman" w:hAnsiTheme="majorHAnsi" w:cstheme="majorHAnsi"/>
          <w:color w:val="000000"/>
        </w:rPr>
        <w:t>M</w:t>
      </w:r>
      <w:r>
        <w:rPr>
          <w:rFonts w:asciiTheme="majorHAnsi" w:eastAsia="Times New Roman" w:hAnsiTheme="majorHAnsi" w:cstheme="majorHAnsi"/>
          <w:color w:val="000000"/>
        </w:rPr>
        <w:t xml:space="preserve">entre le </w:t>
      </w:r>
      <w:r w:rsidRPr="008D7F32">
        <w:rPr>
          <w:rFonts w:asciiTheme="majorHAnsi" w:eastAsia="Times New Roman" w:hAnsiTheme="majorHAnsi" w:cstheme="majorHAnsi"/>
          <w:b/>
          <w:bCs/>
          <w:color w:val="000000"/>
        </w:rPr>
        <w:t>full hybrid</w:t>
      </w:r>
      <w:r>
        <w:rPr>
          <w:rFonts w:asciiTheme="majorHAnsi" w:eastAsia="Times New Roman" w:hAnsiTheme="majorHAnsi" w:cstheme="majorHAnsi"/>
          <w:color w:val="000000"/>
        </w:rPr>
        <w:t>, con una quota dell’11,0</w:t>
      </w:r>
      <w:r w:rsidR="009813EF">
        <w:rPr>
          <w:rFonts w:asciiTheme="majorHAnsi" w:eastAsia="Times New Roman" w:hAnsiTheme="majorHAnsi" w:cstheme="majorHAnsi"/>
          <w:color w:val="000000"/>
        </w:rPr>
        <w:t>6</w:t>
      </w:r>
      <w:r>
        <w:rPr>
          <w:rFonts w:asciiTheme="majorHAnsi" w:eastAsia="Times New Roman" w:hAnsiTheme="majorHAnsi" w:cstheme="majorHAnsi"/>
          <w:color w:val="000000"/>
        </w:rPr>
        <w:t xml:space="preserve">%, sono in crescita significativa (di oltre 5 punti), le </w:t>
      </w:r>
      <w:r w:rsidRPr="008D7F32">
        <w:rPr>
          <w:rFonts w:asciiTheme="majorHAnsi" w:eastAsia="Times New Roman" w:hAnsiTheme="majorHAnsi" w:cstheme="majorHAnsi"/>
          <w:b/>
          <w:bCs/>
          <w:color w:val="000000"/>
        </w:rPr>
        <w:t>plug-in hybrid</w:t>
      </w:r>
      <w:r>
        <w:rPr>
          <w:rFonts w:asciiTheme="majorHAnsi" w:eastAsia="Times New Roman" w:hAnsiTheme="majorHAnsi" w:cstheme="majorHAnsi"/>
          <w:color w:val="000000"/>
        </w:rPr>
        <w:t xml:space="preserve"> sono a meno del 7% di </w:t>
      </w:r>
      <w:r w:rsidR="00BE4D3F">
        <w:rPr>
          <w:rFonts w:asciiTheme="majorHAnsi" w:eastAsia="Times New Roman" w:hAnsiTheme="majorHAnsi" w:cstheme="majorHAnsi"/>
          <w:color w:val="000000"/>
        </w:rPr>
        <w:t>quota</w:t>
      </w:r>
      <w:r>
        <w:rPr>
          <w:rFonts w:asciiTheme="majorHAnsi" w:eastAsia="Times New Roman" w:hAnsiTheme="majorHAnsi" w:cstheme="majorHAnsi"/>
          <w:color w:val="000000"/>
        </w:rPr>
        <w:t xml:space="preserve">, in </w:t>
      </w:r>
      <w:r w:rsidR="006902AB">
        <w:rPr>
          <w:rFonts w:asciiTheme="majorHAnsi" w:eastAsia="Times New Roman" w:hAnsiTheme="majorHAnsi" w:cstheme="majorHAnsi"/>
          <w:color w:val="000000"/>
        </w:rPr>
        <w:t>flessione</w:t>
      </w:r>
      <w:r>
        <w:rPr>
          <w:rFonts w:asciiTheme="majorHAnsi" w:eastAsia="Times New Roman" w:hAnsiTheme="majorHAnsi" w:cstheme="majorHAnsi"/>
          <w:color w:val="000000"/>
        </w:rPr>
        <w:t xml:space="preserve"> di 2 punti. </w:t>
      </w:r>
      <w:r w:rsidRPr="008D7F32">
        <w:rPr>
          <w:rFonts w:asciiTheme="majorHAnsi" w:eastAsia="Times New Roman" w:hAnsiTheme="majorHAnsi" w:cstheme="majorHAnsi"/>
          <w:b/>
          <w:bCs/>
          <w:color w:val="000000"/>
        </w:rPr>
        <w:t>Auto elettriche</w:t>
      </w:r>
      <w:r>
        <w:rPr>
          <w:rFonts w:asciiTheme="majorHAnsi" w:eastAsia="Times New Roman" w:hAnsiTheme="majorHAnsi" w:cstheme="majorHAnsi"/>
          <w:color w:val="000000"/>
        </w:rPr>
        <w:t xml:space="preserve"> stabili al 4%, con un volume di immatricolazioni identico al primo trimestre 2023; </w:t>
      </w:r>
      <w:r w:rsidRPr="008D7F32">
        <w:rPr>
          <w:rFonts w:asciiTheme="majorHAnsi" w:eastAsia="Times New Roman" w:hAnsiTheme="majorHAnsi" w:cstheme="majorHAnsi"/>
          <w:b/>
          <w:bCs/>
          <w:color w:val="000000"/>
        </w:rPr>
        <w:t>auto a gas</w:t>
      </w:r>
      <w:r>
        <w:rPr>
          <w:rFonts w:asciiTheme="majorHAnsi" w:eastAsia="Times New Roman" w:hAnsiTheme="majorHAnsi" w:cstheme="majorHAnsi"/>
          <w:color w:val="000000"/>
        </w:rPr>
        <w:t xml:space="preserve"> in </w:t>
      </w:r>
      <w:r w:rsidR="006902AB">
        <w:rPr>
          <w:rFonts w:asciiTheme="majorHAnsi" w:eastAsia="Times New Roman" w:hAnsiTheme="majorHAnsi" w:cstheme="majorHAnsi"/>
          <w:color w:val="000000"/>
        </w:rPr>
        <w:t>regresso</w:t>
      </w:r>
      <w:r>
        <w:rPr>
          <w:rFonts w:asciiTheme="majorHAnsi" w:eastAsia="Times New Roman" w:hAnsiTheme="majorHAnsi" w:cstheme="majorHAnsi"/>
          <w:color w:val="000000"/>
        </w:rPr>
        <w:t xml:space="preserve"> (-18%), con una quota di mercato inferiore all’1%.</w:t>
      </w:r>
    </w:p>
    <w:p w14:paraId="004012DD" w14:textId="50BC3EAC" w:rsidR="003F407A" w:rsidRDefault="00BC3DD3" w:rsidP="003F407A">
      <w:pPr>
        <w:shd w:val="clear" w:color="auto" w:fill="FFFFFF"/>
        <w:spacing w:after="225"/>
        <w:jc w:val="both"/>
        <w:rPr>
          <w:rFonts w:asciiTheme="majorHAnsi" w:eastAsia="Times New Roman" w:hAnsiTheme="majorHAnsi" w:cstheme="majorHAnsi"/>
          <w:color w:val="000000"/>
        </w:rPr>
      </w:pPr>
      <w:r>
        <w:rPr>
          <w:rFonts w:asciiTheme="majorHAnsi" w:eastAsia="Times New Roman" w:hAnsiTheme="majorHAnsi" w:cstheme="majorHAnsi"/>
          <w:color w:val="000000"/>
        </w:rPr>
        <w:t xml:space="preserve">Nei </w:t>
      </w:r>
      <w:r w:rsidRPr="008D7F32">
        <w:rPr>
          <w:rFonts w:asciiTheme="majorHAnsi" w:eastAsia="Times New Roman" w:hAnsiTheme="majorHAnsi" w:cstheme="majorHAnsi"/>
          <w:b/>
          <w:bCs/>
          <w:color w:val="000000"/>
        </w:rPr>
        <w:t>veicoli commerciali leggeri</w:t>
      </w:r>
      <w:r>
        <w:rPr>
          <w:rFonts w:asciiTheme="majorHAnsi" w:eastAsia="Times New Roman" w:hAnsiTheme="majorHAnsi" w:cstheme="majorHAnsi"/>
          <w:color w:val="000000"/>
        </w:rPr>
        <w:t xml:space="preserve">, il </w:t>
      </w:r>
      <w:r w:rsidRPr="008D7F32">
        <w:rPr>
          <w:rFonts w:asciiTheme="majorHAnsi" w:eastAsia="Times New Roman" w:hAnsiTheme="majorHAnsi" w:cstheme="majorHAnsi"/>
          <w:b/>
          <w:bCs/>
          <w:color w:val="000000"/>
        </w:rPr>
        <w:t>diesel</w:t>
      </w:r>
      <w:r>
        <w:rPr>
          <w:rFonts w:asciiTheme="majorHAnsi" w:eastAsia="Times New Roman" w:hAnsiTheme="majorHAnsi" w:cstheme="majorHAnsi"/>
          <w:color w:val="000000"/>
        </w:rPr>
        <w:t xml:space="preserve"> si mantiene costantemente ben al di sopra dell’80% di quota: anzi, quest’anno cresce di quasi 4 punti. Stabili i mezzi commerciali a </w:t>
      </w:r>
      <w:r w:rsidRPr="008D7F32">
        <w:rPr>
          <w:rFonts w:asciiTheme="majorHAnsi" w:eastAsia="Times New Roman" w:hAnsiTheme="majorHAnsi" w:cstheme="majorHAnsi"/>
          <w:b/>
          <w:bCs/>
          <w:color w:val="000000"/>
        </w:rPr>
        <w:t>benzina</w:t>
      </w:r>
      <w:r>
        <w:rPr>
          <w:rFonts w:asciiTheme="majorHAnsi" w:eastAsia="Times New Roman" w:hAnsiTheme="majorHAnsi" w:cstheme="majorHAnsi"/>
          <w:color w:val="000000"/>
        </w:rPr>
        <w:t xml:space="preserve">, attorno al 10%, mentre gli </w:t>
      </w:r>
      <w:r w:rsidRPr="008D7F32">
        <w:rPr>
          <w:rFonts w:asciiTheme="majorHAnsi" w:eastAsia="Times New Roman" w:hAnsiTheme="majorHAnsi" w:cstheme="majorHAnsi"/>
          <w:b/>
          <w:bCs/>
          <w:color w:val="000000"/>
        </w:rPr>
        <w:t>“ibridi veri”</w:t>
      </w:r>
      <w:r>
        <w:rPr>
          <w:rFonts w:asciiTheme="majorHAnsi" w:eastAsia="Times New Roman" w:hAnsiTheme="majorHAnsi" w:cstheme="majorHAnsi"/>
          <w:color w:val="000000"/>
        </w:rPr>
        <w:t xml:space="preserve"> sono </w:t>
      </w:r>
      <w:r w:rsidR="006902AB">
        <w:rPr>
          <w:rFonts w:asciiTheme="majorHAnsi" w:eastAsia="Times New Roman" w:hAnsiTheme="majorHAnsi" w:cstheme="majorHAnsi"/>
          <w:color w:val="000000"/>
        </w:rPr>
        <w:t xml:space="preserve">a circa </w:t>
      </w:r>
      <w:r w:rsidR="00F87DD8">
        <w:rPr>
          <w:rFonts w:asciiTheme="majorHAnsi" w:eastAsia="Times New Roman" w:hAnsiTheme="majorHAnsi" w:cstheme="majorHAnsi"/>
          <w:color w:val="000000"/>
        </w:rPr>
        <w:t xml:space="preserve">l’1,5% di market share. I veicoli </w:t>
      </w:r>
      <w:r w:rsidR="00F87DD8" w:rsidRPr="008D7F32">
        <w:rPr>
          <w:rFonts w:asciiTheme="majorHAnsi" w:eastAsia="Times New Roman" w:hAnsiTheme="majorHAnsi" w:cstheme="majorHAnsi"/>
          <w:b/>
          <w:bCs/>
          <w:color w:val="000000"/>
        </w:rPr>
        <w:t>elettrici</w:t>
      </w:r>
      <w:r w:rsidR="00F87DD8">
        <w:rPr>
          <w:rFonts w:asciiTheme="majorHAnsi" w:eastAsia="Times New Roman" w:hAnsiTheme="majorHAnsi" w:cstheme="majorHAnsi"/>
          <w:color w:val="000000"/>
        </w:rPr>
        <w:t xml:space="preserve"> hanno fatto segnare una battuta d’arresto, dimezzando la quota</w:t>
      </w:r>
      <w:r w:rsidR="006271EA">
        <w:rPr>
          <w:rFonts w:asciiTheme="majorHAnsi" w:eastAsia="Times New Roman" w:hAnsiTheme="majorHAnsi" w:cstheme="majorHAnsi"/>
          <w:color w:val="000000"/>
        </w:rPr>
        <w:t xml:space="preserve">, </w:t>
      </w:r>
      <w:r w:rsidR="00F87DD8">
        <w:rPr>
          <w:rFonts w:asciiTheme="majorHAnsi" w:eastAsia="Times New Roman" w:hAnsiTheme="majorHAnsi" w:cstheme="majorHAnsi"/>
          <w:color w:val="000000"/>
        </w:rPr>
        <w:t>che ora non arriva al 3,4%.</w:t>
      </w:r>
    </w:p>
    <w:p w14:paraId="53CDABA5" w14:textId="77777777" w:rsidR="00C11156" w:rsidRDefault="00C11156" w:rsidP="003F407A">
      <w:pPr>
        <w:shd w:val="clear" w:color="auto" w:fill="FFFFFF"/>
        <w:spacing w:after="225"/>
        <w:jc w:val="both"/>
        <w:rPr>
          <w:rFonts w:asciiTheme="majorHAnsi" w:eastAsia="Times New Roman" w:hAnsiTheme="majorHAnsi" w:cstheme="majorHAnsi"/>
          <w:color w:val="000000"/>
        </w:rPr>
      </w:pPr>
    </w:p>
    <w:p w14:paraId="73F5FF8B" w14:textId="5F46E50B" w:rsidR="0042536F" w:rsidRDefault="00F2740D" w:rsidP="0042536F">
      <w:pPr>
        <w:shd w:val="clear" w:color="auto" w:fill="FFFFFF"/>
        <w:spacing w:after="225"/>
        <w:jc w:val="center"/>
        <w:rPr>
          <w:rFonts w:asciiTheme="majorHAnsi" w:eastAsia="Times New Roman" w:hAnsiTheme="majorHAnsi" w:cstheme="majorHAnsi"/>
          <w:color w:val="000000"/>
        </w:rPr>
      </w:pPr>
      <w:r>
        <w:rPr>
          <w:noProof/>
        </w:rPr>
        <w:drawing>
          <wp:inline distT="0" distB="0" distL="0" distR="0" wp14:anchorId="5BD7967F" wp14:editId="2E6262F9">
            <wp:extent cx="5868000" cy="2631600"/>
            <wp:effectExtent l="0" t="0" r="0" b="0"/>
            <wp:docPr id="1511897764" name="Immagine 19" descr="Immagine che contiene testo, schermata, numero, Carattere&#10;&#10;Descrizione generata automa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897764" name="Immagine 19" descr="Immagine che contiene testo, schermata, numero, Carattere&#10;&#10;Descrizione generata automaticamente">
                      <a:hlinkClick r:id="rId1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8000" cy="2631600"/>
                    </a:xfrm>
                    <a:prstGeom prst="rect">
                      <a:avLst/>
                    </a:prstGeom>
                    <a:noFill/>
                    <a:ln>
                      <a:noFill/>
                    </a:ln>
                  </pic:spPr>
                </pic:pic>
              </a:graphicData>
            </a:graphic>
          </wp:inline>
        </w:drawing>
      </w:r>
    </w:p>
    <w:p w14:paraId="46A4FA13" w14:textId="77777777" w:rsidR="00C11156" w:rsidRDefault="00C11156" w:rsidP="0042536F">
      <w:pPr>
        <w:shd w:val="clear" w:color="auto" w:fill="FFFFFF"/>
        <w:spacing w:after="225"/>
        <w:jc w:val="center"/>
        <w:rPr>
          <w:rFonts w:asciiTheme="majorHAnsi" w:eastAsia="Times New Roman" w:hAnsiTheme="majorHAnsi" w:cstheme="majorHAnsi"/>
          <w:color w:val="000000"/>
        </w:rPr>
      </w:pPr>
    </w:p>
    <w:p w14:paraId="04AF636B" w14:textId="249BF343" w:rsidR="00F87DD8" w:rsidRDefault="00F87DD8" w:rsidP="003F407A">
      <w:pPr>
        <w:shd w:val="clear" w:color="auto" w:fill="FFFFFF"/>
        <w:spacing w:after="225"/>
        <w:jc w:val="both"/>
        <w:rPr>
          <w:rFonts w:asciiTheme="majorHAnsi" w:eastAsia="Times New Roman" w:hAnsiTheme="majorHAnsi" w:cstheme="majorHAnsi"/>
          <w:color w:val="000000"/>
        </w:rPr>
      </w:pPr>
      <w:r>
        <w:rPr>
          <w:rFonts w:asciiTheme="majorHAnsi" w:eastAsia="Times New Roman" w:hAnsiTheme="majorHAnsi" w:cstheme="majorHAnsi"/>
          <w:color w:val="000000"/>
        </w:rPr>
        <w:t xml:space="preserve">Nel </w:t>
      </w:r>
      <w:r w:rsidRPr="008D7F32">
        <w:rPr>
          <w:rFonts w:asciiTheme="majorHAnsi" w:eastAsia="Times New Roman" w:hAnsiTheme="majorHAnsi" w:cstheme="majorHAnsi"/>
          <w:b/>
          <w:bCs/>
          <w:color w:val="000000"/>
        </w:rPr>
        <w:t>noleggio a breve termine</w:t>
      </w:r>
      <w:r w:rsidR="006902AB">
        <w:rPr>
          <w:rFonts w:asciiTheme="majorHAnsi" w:eastAsia="Times New Roman" w:hAnsiTheme="majorHAnsi" w:cstheme="majorHAnsi"/>
          <w:b/>
          <w:bCs/>
          <w:color w:val="000000"/>
        </w:rPr>
        <w:t>,</w:t>
      </w:r>
      <w:r w:rsidRPr="008D7F32">
        <w:rPr>
          <w:rFonts w:asciiTheme="majorHAnsi" w:eastAsia="Times New Roman" w:hAnsiTheme="majorHAnsi" w:cstheme="majorHAnsi"/>
          <w:b/>
          <w:bCs/>
          <w:color w:val="000000"/>
        </w:rPr>
        <w:t xml:space="preserve"> benzina</w:t>
      </w:r>
      <w:r>
        <w:rPr>
          <w:rFonts w:asciiTheme="majorHAnsi" w:eastAsia="Times New Roman" w:hAnsiTheme="majorHAnsi" w:cstheme="majorHAnsi"/>
          <w:color w:val="000000"/>
        </w:rPr>
        <w:t xml:space="preserve"> (6</w:t>
      </w:r>
      <w:r w:rsidR="00D664DA">
        <w:rPr>
          <w:rFonts w:asciiTheme="majorHAnsi" w:eastAsia="Times New Roman" w:hAnsiTheme="majorHAnsi" w:cstheme="majorHAnsi"/>
          <w:color w:val="000000"/>
        </w:rPr>
        <w:t>4</w:t>
      </w:r>
      <w:r>
        <w:rPr>
          <w:rFonts w:asciiTheme="majorHAnsi" w:eastAsia="Times New Roman" w:hAnsiTheme="majorHAnsi" w:cstheme="majorHAnsi"/>
          <w:color w:val="000000"/>
        </w:rPr>
        <w:t>,</w:t>
      </w:r>
      <w:r w:rsidR="00D664DA">
        <w:rPr>
          <w:rFonts w:asciiTheme="majorHAnsi" w:eastAsia="Times New Roman" w:hAnsiTheme="majorHAnsi" w:cstheme="majorHAnsi"/>
          <w:color w:val="000000"/>
        </w:rPr>
        <w:t>91</w:t>
      </w:r>
      <w:r>
        <w:rPr>
          <w:rFonts w:asciiTheme="majorHAnsi" w:eastAsia="Times New Roman" w:hAnsiTheme="majorHAnsi" w:cstheme="majorHAnsi"/>
          <w:color w:val="000000"/>
        </w:rPr>
        <w:t xml:space="preserve">% di quota) e </w:t>
      </w:r>
      <w:r w:rsidRPr="008D7F32">
        <w:rPr>
          <w:rFonts w:asciiTheme="majorHAnsi" w:eastAsia="Times New Roman" w:hAnsiTheme="majorHAnsi" w:cstheme="majorHAnsi"/>
          <w:b/>
          <w:bCs/>
          <w:color w:val="000000"/>
        </w:rPr>
        <w:t>diesel</w:t>
      </w:r>
      <w:r>
        <w:rPr>
          <w:rFonts w:asciiTheme="majorHAnsi" w:eastAsia="Times New Roman" w:hAnsiTheme="majorHAnsi" w:cstheme="majorHAnsi"/>
          <w:color w:val="000000"/>
        </w:rPr>
        <w:t xml:space="preserve"> (28,</w:t>
      </w:r>
      <w:r w:rsidR="00D664DA">
        <w:rPr>
          <w:rFonts w:asciiTheme="majorHAnsi" w:eastAsia="Times New Roman" w:hAnsiTheme="majorHAnsi" w:cstheme="majorHAnsi"/>
          <w:color w:val="000000"/>
        </w:rPr>
        <w:t>42</w:t>
      </w:r>
      <w:r>
        <w:rPr>
          <w:rFonts w:asciiTheme="majorHAnsi" w:eastAsia="Times New Roman" w:hAnsiTheme="majorHAnsi" w:cstheme="majorHAnsi"/>
          <w:color w:val="000000"/>
        </w:rPr>
        <w:t xml:space="preserve">%) si spartiscono quasi tutto il mercato </w:t>
      </w:r>
      <w:r w:rsidR="00BE4D3F">
        <w:rPr>
          <w:rFonts w:asciiTheme="majorHAnsi" w:eastAsia="Times New Roman" w:hAnsiTheme="majorHAnsi" w:cstheme="majorHAnsi"/>
          <w:b/>
          <w:bCs/>
          <w:color w:val="000000"/>
        </w:rPr>
        <w:t>delle auto</w:t>
      </w:r>
      <w:r>
        <w:rPr>
          <w:rFonts w:asciiTheme="majorHAnsi" w:eastAsia="Times New Roman" w:hAnsiTheme="majorHAnsi" w:cstheme="majorHAnsi"/>
          <w:color w:val="000000"/>
        </w:rPr>
        <w:t xml:space="preserve">. </w:t>
      </w:r>
      <w:r w:rsidRPr="008D7F32">
        <w:rPr>
          <w:rFonts w:asciiTheme="majorHAnsi" w:eastAsia="Times New Roman" w:hAnsiTheme="majorHAnsi" w:cstheme="majorHAnsi"/>
          <w:b/>
          <w:bCs/>
          <w:color w:val="000000"/>
        </w:rPr>
        <w:t>Full hybrid</w:t>
      </w:r>
      <w:r>
        <w:rPr>
          <w:rFonts w:asciiTheme="majorHAnsi" w:eastAsia="Times New Roman" w:hAnsiTheme="majorHAnsi" w:cstheme="majorHAnsi"/>
          <w:color w:val="000000"/>
        </w:rPr>
        <w:t xml:space="preserve"> al 3,4</w:t>
      </w:r>
      <w:r w:rsidR="00D664DA">
        <w:rPr>
          <w:rFonts w:asciiTheme="majorHAnsi" w:eastAsia="Times New Roman" w:hAnsiTheme="majorHAnsi" w:cstheme="majorHAnsi"/>
          <w:color w:val="000000"/>
        </w:rPr>
        <w:t>9</w:t>
      </w:r>
      <w:r>
        <w:rPr>
          <w:rFonts w:asciiTheme="majorHAnsi" w:eastAsia="Times New Roman" w:hAnsiTheme="majorHAnsi" w:cstheme="majorHAnsi"/>
          <w:color w:val="000000"/>
        </w:rPr>
        <w:t xml:space="preserve">% di share (quasi 3 punti in più) e </w:t>
      </w:r>
      <w:r w:rsidRPr="008D7F32">
        <w:rPr>
          <w:rFonts w:asciiTheme="majorHAnsi" w:eastAsia="Times New Roman" w:hAnsiTheme="majorHAnsi" w:cstheme="majorHAnsi"/>
          <w:b/>
          <w:bCs/>
          <w:color w:val="000000"/>
        </w:rPr>
        <w:t>plug-in hybrid</w:t>
      </w:r>
      <w:r>
        <w:rPr>
          <w:rFonts w:asciiTheme="majorHAnsi" w:eastAsia="Times New Roman" w:hAnsiTheme="majorHAnsi" w:cstheme="majorHAnsi"/>
          <w:color w:val="000000"/>
        </w:rPr>
        <w:t xml:space="preserve"> scesi sotto il 2% (</w:t>
      </w:r>
      <w:r w:rsidR="00D664DA">
        <w:rPr>
          <w:rFonts w:asciiTheme="majorHAnsi" w:eastAsia="Times New Roman" w:hAnsiTheme="majorHAnsi" w:cstheme="majorHAnsi"/>
          <w:color w:val="000000"/>
        </w:rPr>
        <w:t>2</w:t>
      </w:r>
      <w:r>
        <w:rPr>
          <w:rFonts w:asciiTheme="majorHAnsi" w:eastAsia="Times New Roman" w:hAnsiTheme="majorHAnsi" w:cstheme="majorHAnsi"/>
          <w:color w:val="000000"/>
        </w:rPr>
        <w:t xml:space="preserve"> punti in meno). Le </w:t>
      </w:r>
      <w:r w:rsidRPr="008D7F32">
        <w:rPr>
          <w:rFonts w:asciiTheme="majorHAnsi" w:eastAsia="Times New Roman" w:hAnsiTheme="majorHAnsi" w:cstheme="majorHAnsi"/>
          <w:b/>
          <w:bCs/>
          <w:color w:val="000000"/>
        </w:rPr>
        <w:t>auto elettriche</w:t>
      </w:r>
      <w:r>
        <w:rPr>
          <w:rFonts w:asciiTheme="majorHAnsi" w:eastAsia="Times New Roman" w:hAnsiTheme="majorHAnsi" w:cstheme="majorHAnsi"/>
          <w:color w:val="000000"/>
        </w:rPr>
        <w:t xml:space="preserve"> sono quasi scomparse dal mercato dello </w:t>
      </w:r>
      <w:r w:rsidRPr="008D7F32">
        <w:rPr>
          <w:rFonts w:asciiTheme="majorHAnsi" w:eastAsia="Times New Roman" w:hAnsiTheme="majorHAnsi" w:cstheme="majorHAnsi"/>
          <w:b/>
          <w:bCs/>
          <w:color w:val="000000"/>
        </w:rPr>
        <w:t xml:space="preserve">short </w:t>
      </w:r>
      <w:r w:rsidR="00BE4D3F">
        <w:rPr>
          <w:rFonts w:asciiTheme="majorHAnsi" w:eastAsia="Times New Roman" w:hAnsiTheme="majorHAnsi" w:cstheme="majorHAnsi"/>
          <w:b/>
          <w:bCs/>
          <w:color w:val="000000"/>
        </w:rPr>
        <w:t>term</w:t>
      </w:r>
      <w:r w:rsidR="00BE4D3F">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 xml:space="preserve">(soltanto </w:t>
      </w:r>
      <w:r w:rsidR="00C02F00">
        <w:rPr>
          <w:rFonts w:asciiTheme="majorHAnsi" w:eastAsia="Times New Roman" w:hAnsiTheme="majorHAnsi" w:cstheme="majorHAnsi"/>
          <w:color w:val="000000"/>
        </w:rPr>
        <w:t>309</w:t>
      </w:r>
      <w:r>
        <w:rPr>
          <w:rFonts w:asciiTheme="majorHAnsi" w:eastAsia="Times New Roman" w:hAnsiTheme="majorHAnsi" w:cstheme="majorHAnsi"/>
          <w:color w:val="000000"/>
        </w:rPr>
        <w:t xml:space="preserve"> immatricolazioni quest’anno). Idem per le </w:t>
      </w:r>
      <w:r w:rsidRPr="008D7F32">
        <w:rPr>
          <w:rFonts w:asciiTheme="majorHAnsi" w:eastAsia="Times New Roman" w:hAnsiTheme="majorHAnsi" w:cstheme="majorHAnsi"/>
          <w:b/>
          <w:bCs/>
          <w:color w:val="000000"/>
        </w:rPr>
        <w:t>auto a gas</w:t>
      </w:r>
      <w:r>
        <w:rPr>
          <w:rFonts w:asciiTheme="majorHAnsi" w:eastAsia="Times New Roman" w:hAnsiTheme="majorHAnsi" w:cstheme="majorHAnsi"/>
          <w:color w:val="000000"/>
        </w:rPr>
        <w:t>.</w:t>
      </w:r>
    </w:p>
    <w:p w14:paraId="0D12E27E" w14:textId="41D73E52" w:rsidR="00F87DD8" w:rsidRDefault="00F87DD8" w:rsidP="003F407A">
      <w:pPr>
        <w:shd w:val="clear" w:color="auto" w:fill="FFFFFF"/>
        <w:spacing w:after="225"/>
        <w:jc w:val="both"/>
        <w:rPr>
          <w:rFonts w:asciiTheme="majorHAnsi" w:eastAsia="Times New Roman" w:hAnsiTheme="majorHAnsi" w:cstheme="majorHAnsi"/>
          <w:color w:val="000000"/>
        </w:rPr>
      </w:pPr>
      <w:r>
        <w:rPr>
          <w:rFonts w:asciiTheme="majorHAnsi" w:eastAsia="Times New Roman" w:hAnsiTheme="majorHAnsi" w:cstheme="majorHAnsi"/>
          <w:color w:val="000000"/>
        </w:rPr>
        <w:t xml:space="preserve">Tra i </w:t>
      </w:r>
      <w:r w:rsidRPr="008D7F32">
        <w:rPr>
          <w:rFonts w:asciiTheme="majorHAnsi" w:eastAsia="Times New Roman" w:hAnsiTheme="majorHAnsi" w:cstheme="majorHAnsi"/>
          <w:b/>
          <w:bCs/>
          <w:color w:val="000000"/>
        </w:rPr>
        <w:t>veicoli commerciali leggeri</w:t>
      </w:r>
      <w:r>
        <w:rPr>
          <w:rFonts w:asciiTheme="majorHAnsi" w:eastAsia="Times New Roman" w:hAnsiTheme="majorHAnsi" w:cstheme="majorHAnsi"/>
          <w:color w:val="000000"/>
        </w:rPr>
        <w:t xml:space="preserve">, il </w:t>
      </w:r>
      <w:r w:rsidR="00584FEC">
        <w:rPr>
          <w:rFonts w:asciiTheme="majorHAnsi" w:eastAsia="Times New Roman" w:hAnsiTheme="majorHAnsi" w:cstheme="majorHAnsi"/>
          <w:b/>
          <w:bCs/>
          <w:color w:val="000000"/>
        </w:rPr>
        <w:t>noleggio a breve termine</w:t>
      </w:r>
      <w:r>
        <w:rPr>
          <w:rFonts w:asciiTheme="majorHAnsi" w:eastAsia="Times New Roman" w:hAnsiTheme="majorHAnsi" w:cstheme="majorHAnsi"/>
          <w:color w:val="000000"/>
        </w:rPr>
        <w:t xml:space="preserve"> evidenzia una “maggioranza bulgara” per il </w:t>
      </w:r>
      <w:r w:rsidRPr="008D7F32">
        <w:rPr>
          <w:rFonts w:asciiTheme="majorHAnsi" w:eastAsia="Times New Roman" w:hAnsiTheme="majorHAnsi" w:cstheme="majorHAnsi"/>
          <w:b/>
          <w:bCs/>
          <w:color w:val="000000"/>
        </w:rPr>
        <w:t>diesel</w:t>
      </w:r>
      <w:r>
        <w:rPr>
          <w:rFonts w:asciiTheme="majorHAnsi" w:eastAsia="Times New Roman" w:hAnsiTheme="majorHAnsi" w:cstheme="majorHAnsi"/>
          <w:color w:val="000000"/>
        </w:rPr>
        <w:t>: 9</w:t>
      </w:r>
      <w:r w:rsidR="00C02F00">
        <w:rPr>
          <w:rFonts w:asciiTheme="majorHAnsi" w:eastAsia="Times New Roman" w:hAnsiTheme="majorHAnsi" w:cstheme="majorHAnsi"/>
          <w:color w:val="000000"/>
        </w:rPr>
        <w:t>4</w:t>
      </w:r>
      <w:r>
        <w:rPr>
          <w:rFonts w:asciiTheme="majorHAnsi" w:eastAsia="Times New Roman" w:hAnsiTheme="majorHAnsi" w:cstheme="majorHAnsi"/>
          <w:color w:val="000000"/>
        </w:rPr>
        <w:t>,</w:t>
      </w:r>
      <w:r w:rsidR="00C02F00">
        <w:rPr>
          <w:rFonts w:asciiTheme="majorHAnsi" w:eastAsia="Times New Roman" w:hAnsiTheme="majorHAnsi" w:cstheme="majorHAnsi"/>
          <w:color w:val="000000"/>
        </w:rPr>
        <w:t>5</w:t>
      </w:r>
      <w:r>
        <w:rPr>
          <w:rFonts w:asciiTheme="majorHAnsi" w:eastAsia="Times New Roman" w:hAnsiTheme="majorHAnsi" w:cstheme="majorHAnsi"/>
          <w:color w:val="000000"/>
        </w:rPr>
        <w:t xml:space="preserve">% di quota di mercato. Nemmeno il </w:t>
      </w:r>
      <w:r w:rsidRPr="008D7F32">
        <w:rPr>
          <w:rFonts w:asciiTheme="majorHAnsi" w:eastAsia="Times New Roman" w:hAnsiTheme="majorHAnsi" w:cstheme="majorHAnsi"/>
          <w:b/>
          <w:bCs/>
          <w:color w:val="000000"/>
        </w:rPr>
        <w:t>benzina</w:t>
      </w:r>
      <w:r>
        <w:rPr>
          <w:rFonts w:asciiTheme="majorHAnsi" w:eastAsia="Times New Roman" w:hAnsiTheme="majorHAnsi" w:cstheme="majorHAnsi"/>
          <w:color w:val="000000"/>
        </w:rPr>
        <w:t xml:space="preserve"> è preso in considerazione da questo canale</w:t>
      </w:r>
      <w:r w:rsidR="00B038CB">
        <w:rPr>
          <w:rFonts w:asciiTheme="majorHAnsi" w:eastAsia="Times New Roman" w:hAnsiTheme="majorHAnsi" w:cstheme="majorHAnsi"/>
          <w:color w:val="000000"/>
        </w:rPr>
        <w:t>, con una quota market share</w:t>
      </w:r>
      <w:r>
        <w:rPr>
          <w:rFonts w:asciiTheme="majorHAnsi" w:eastAsia="Times New Roman" w:hAnsiTheme="majorHAnsi" w:cstheme="majorHAnsi"/>
          <w:color w:val="000000"/>
        </w:rPr>
        <w:t xml:space="preserve"> dell’1,</w:t>
      </w:r>
      <w:r w:rsidR="00B038CB">
        <w:rPr>
          <w:rFonts w:asciiTheme="majorHAnsi" w:eastAsia="Times New Roman" w:hAnsiTheme="majorHAnsi" w:cstheme="majorHAnsi"/>
          <w:color w:val="000000"/>
        </w:rPr>
        <w:t>3</w:t>
      </w:r>
      <w:r>
        <w:rPr>
          <w:rFonts w:asciiTheme="majorHAnsi" w:eastAsia="Times New Roman" w:hAnsiTheme="majorHAnsi" w:cstheme="majorHAnsi"/>
          <w:color w:val="000000"/>
        </w:rPr>
        <w:t xml:space="preserve">%. Unica alternativa sono i </w:t>
      </w:r>
      <w:r w:rsidRPr="008D7F32">
        <w:rPr>
          <w:rFonts w:asciiTheme="majorHAnsi" w:eastAsia="Times New Roman" w:hAnsiTheme="majorHAnsi" w:cstheme="majorHAnsi"/>
          <w:b/>
          <w:bCs/>
          <w:color w:val="000000"/>
        </w:rPr>
        <w:t>veicoli commerciali a gas</w:t>
      </w:r>
      <w:r>
        <w:rPr>
          <w:rFonts w:asciiTheme="majorHAnsi" w:eastAsia="Times New Roman" w:hAnsiTheme="majorHAnsi" w:cstheme="majorHAnsi"/>
          <w:color w:val="000000"/>
        </w:rPr>
        <w:t xml:space="preserve"> (3,</w:t>
      </w:r>
      <w:r w:rsidR="005021CF">
        <w:rPr>
          <w:rFonts w:asciiTheme="majorHAnsi" w:eastAsia="Times New Roman" w:hAnsiTheme="majorHAnsi" w:cstheme="majorHAnsi"/>
          <w:color w:val="000000"/>
        </w:rPr>
        <w:t>3</w:t>
      </w:r>
      <w:r>
        <w:rPr>
          <w:rFonts w:asciiTheme="majorHAnsi" w:eastAsia="Times New Roman" w:hAnsiTheme="majorHAnsi" w:cstheme="majorHAnsi"/>
          <w:color w:val="000000"/>
        </w:rPr>
        <w:t xml:space="preserve">5% di quota, </w:t>
      </w:r>
      <w:r w:rsidR="005021CF">
        <w:rPr>
          <w:rFonts w:asciiTheme="majorHAnsi" w:eastAsia="Times New Roman" w:hAnsiTheme="majorHAnsi" w:cstheme="majorHAnsi"/>
          <w:color w:val="000000"/>
        </w:rPr>
        <w:t>stabili</w:t>
      </w:r>
      <w:r>
        <w:rPr>
          <w:rFonts w:asciiTheme="majorHAnsi" w:eastAsia="Times New Roman" w:hAnsiTheme="majorHAnsi" w:cstheme="majorHAnsi"/>
          <w:color w:val="000000"/>
        </w:rPr>
        <w:t xml:space="preserve">). </w:t>
      </w:r>
      <w:r w:rsidRPr="008D7F32">
        <w:rPr>
          <w:rFonts w:asciiTheme="majorHAnsi" w:eastAsia="Times New Roman" w:hAnsiTheme="majorHAnsi" w:cstheme="majorHAnsi"/>
          <w:b/>
          <w:bCs/>
          <w:color w:val="000000"/>
        </w:rPr>
        <w:t>Veicoli elettrici</w:t>
      </w:r>
      <w:r>
        <w:rPr>
          <w:rFonts w:asciiTheme="majorHAnsi" w:eastAsia="Times New Roman" w:hAnsiTheme="majorHAnsi" w:cstheme="majorHAnsi"/>
          <w:color w:val="000000"/>
        </w:rPr>
        <w:t xml:space="preserve"> </w:t>
      </w:r>
      <w:r w:rsidR="005127C0">
        <w:rPr>
          <w:rFonts w:asciiTheme="majorHAnsi" w:eastAsia="Times New Roman" w:hAnsiTheme="majorHAnsi" w:cstheme="majorHAnsi"/>
          <w:color w:val="000000"/>
        </w:rPr>
        <w:t>c</w:t>
      </w:r>
      <w:r>
        <w:rPr>
          <w:rFonts w:asciiTheme="majorHAnsi" w:eastAsia="Times New Roman" w:hAnsiTheme="majorHAnsi" w:cstheme="majorHAnsi"/>
          <w:color w:val="000000"/>
        </w:rPr>
        <w:t xml:space="preserve">rollati sotto l’1% </w:t>
      </w:r>
      <w:r w:rsidR="005127C0">
        <w:rPr>
          <w:rFonts w:asciiTheme="majorHAnsi" w:eastAsia="Times New Roman" w:hAnsiTheme="majorHAnsi" w:cstheme="majorHAnsi"/>
          <w:color w:val="000000"/>
        </w:rPr>
        <w:t xml:space="preserve">(quasi </w:t>
      </w:r>
      <w:r w:rsidR="005021CF">
        <w:rPr>
          <w:rFonts w:asciiTheme="majorHAnsi" w:eastAsia="Times New Roman" w:hAnsiTheme="majorHAnsi" w:cstheme="majorHAnsi"/>
          <w:color w:val="000000"/>
        </w:rPr>
        <w:t>4</w:t>
      </w:r>
      <w:r w:rsidR="005127C0">
        <w:rPr>
          <w:rFonts w:asciiTheme="majorHAnsi" w:eastAsia="Times New Roman" w:hAnsiTheme="majorHAnsi" w:cstheme="majorHAnsi"/>
          <w:color w:val="000000"/>
        </w:rPr>
        <w:t xml:space="preserve"> punti in meno).</w:t>
      </w:r>
    </w:p>
    <w:p w14:paraId="59B6BC48" w14:textId="77777777" w:rsidR="00F2740D" w:rsidRDefault="00F2740D" w:rsidP="0042536F">
      <w:pPr>
        <w:jc w:val="center"/>
        <w:rPr>
          <w:noProof/>
        </w:rPr>
      </w:pPr>
    </w:p>
    <w:p w14:paraId="6D995115" w14:textId="145BEDCC" w:rsidR="00837B5A" w:rsidRDefault="00F2740D" w:rsidP="0042536F">
      <w:pPr>
        <w:jc w:val="center"/>
        <w:rPr>
          <w:rFonts w:asciiTheme="majorHAnsi" w:eastAsia="Times New Roman" w:hAnsiTheme="majorHAnsi" w:cstheme="majorHAnsi"/>
          <w:color w:val="000000"/>
        </w:rPr>
      </w:pPr>
      <w:r>
        <w:rPr>
          <w:noProof/>
        </w:rPr>
        <w:drawing>
          <wp:inline distT="0" distB="0" distL="0" distR="0" wp14:anchorId="1CE58560" wp14:editId="0F7BB9F6">
            <wp:extent cx="5868000" cy="2631600"/>
            <wp:effectExtent l="0" t="0" r="0" b="0"/>
            <wp:docPr id="1537073704" name="Immagine 20" descr="Immagine che contiene testo, schermata, numero, Carattere&#10;&#10;Descrizione generata automa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073704" name="Immagine 20" descr="Immagine che contiene testo, schermata, numero, Carattere&#10;&#10;Descrizione generata automaticamente">
                      <a:hlinkClick r:id="rId1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8000" cy="2631600"/>
                    </a:xfrm>
                    <a:prstGeom prst="rect">
                      <a:avLst/>
                    </a:prstGeom>
                    <a:noFill/>
                    <a:ln>
                      <a:noFill/>
                    </a:ln>
                  </pic:spPr>
                </pic:pic>
              </a:graphicData>
            </a:graphic>
          </wp:inline>
        </w:drawing>
      </w:r>
    </w:p>
    <w:p w14:paraId="0427FD74" w14:textId="77777777" w:rsidR="0042536F" w:rsidRDefault="0042536F" w:rsidP="003F407A">
      <w:pPr>
        <w:jc w:val="both"/>
        <w:rPr>
          <w:rFonts w:asciiTheme="majorHAnsi" w:hAnsiTheme="majorHAnsi" w:cstheme="majorHAnsi"/>
          <w:b/>
        </w:rPr>
      </w:pPr>
    </w:p>
    <w:p w14:paraId="4E27B34B" w14:textId="51A2CCD8" w:rsidR="003F407A" w:rsidRDefault="003F407A" w:rsidP="003F407A">
      <w:pPr>
        <w:jc w:val="both"/>
        <w:rPr>
          <w:rFonts w:asciiTheme="majorHAnsi" w:hAnsiTheme="majorHAnsi" w:cstheme="majorHAnsi"/>
          <w:b/>
        </w:rPr>
      </w:pPr>
      <w:r w:rsidRPr="00B65608">
        <w:rPr>
          <w:rFonts w:asciiTheme="majorHAnsi" w:hAnsiTheme="majorHAnsi" w:cstheme="majorHAnsi"/>
          <w:b/>
        </w:rPr>
        <w:t xml:space="preserve">L’ANALISI PER </w:t>
      </w:r>
      <w:r>
        <w:rPr>
          <w:rFonts w:asciiTheme="majorHAnsi" w:hAnsiTheme="majorHAnsi" w:cstheme="majorHAnsi"/>
          <w:b/>
        </w:rPr>
        <w:t>FASCE DI EMISSIONI CO2</w:t>
      </w:r>
    </w:p>
    <w:p w14:paraId="6F2EDCC0" w14:textId="77777777" w:rsidR="00D14157" w:rsidRPr="00B65608" w:rsidRDefault="00D14157" w:rsidP="003F407A">
      <w:pPr>
        <w:jc w:val="both"/>
        <w:rPr>
          <w:rFonts w:asciiTheme="majorHAnsi" w:hAnsiTheme="majorHAnsi" w:cstheme="majorHAnsi"/>
          <w:b/>
        </w:rPr>
      </w:pPr>
    </w:p>
    <w:p w14:paraId="6416202E" w14:textId="3AA5ECB6" w:rsidR="003F407A" w:rsidRDefault="005127C0" w:rsidP="003F407A">
      <w:pPr>
        <w:shd w:val="clear" w:color="auto" w:fill="FFFFFF"/>
        <w:spacing w:after="225"/>
        <w:jc w:val="both"/>
        <w:rPr>
          <w:rFonts w:asciiTheme="majorHAnsi" w:eastAsia="Times New Roman" w:hAnsiTheme="majorHAnsi" w:cstheme="majorHAnsi"/>
          <w:color w:val="000000"/>
        </w:rPr>
      </w:pPr>
      <w:r w:rsidRPr="005127C0">
        <w:rPr>
          <w:rFonts w:asciiTheme="majorHAnsi" w:eastAsia="Times New Roman" w:hAnsiTheme="majorHAnsi" w:cstheme="majorHAnsi"/>
          <w:color w:val="000000"/>
        </w:rPr>
        <w:t xml:space="preserve">Nella </w:t>
      </w:r>
      <w:r w:rsidRPr="008D7F32">
        <w:rPr>
          <w:rFonts w:asciiTheme="majorHAnsi" w:eastAsia="Times New Roman" w:hAnsiTheme="majorHAnsi" w:cstheme="majorHAnsi"/>
          <w:b/>
          <w:bCs/>
          <w:color w:val="000000"/>
        </w:rPr>
        <w:t>fascia di emissioni più virtuosa</w:t>
      </w:r>
      <w:r>
        <w:rPr>
          <w:rFonts w:asciiTheme="majorHAnsi" w:eastAsia="Times New Roman" w:hAnsiTheme="majorHAnsi" w:cstheme="majorHAnsi"/>
          <w:color w:val="000000"/>
        </w:rPr>
        <w:t xml:space="preserve"> (da 0 a 20 g/km di CO</w:t>
      </w:r>
      <w:r w:rsidRPr="005127C0">
        <w:rPr>
          <w:rFonts w:asciiTheme="majorHAnsi" w:eastAsia="Times New Roman" w:hAnsiTheme="majorHAnsi" w:cstheme="majorHAnsi"/>
          <w:color w:val="000000"/>
          <w:vertAlign w:val="subscript"/>
        </w:rPr>
        <w:t>2</w:t>
      </w:r>
      <w:r>
        <w:rPr>
          <w:rFonts w:asciiTheme="majorHAnsi" w:eastAsia="Times New Roman" w:hAnsiTheme="majorHAnsi" w:cstheme="majorHAnsi"/>
          <w:color w:val="000000"/>
        </w:rPr>
        <w:t xml:space="preserve">, ossia le </w:t>
      </w:r>
      <w:r w:rsidRPr="008D7F32">
        <w:rPr>
          <w:rFonts w:asciiTheme="majorHAnsi" w:eastAsia="Times New Roman" w:hAnsiTheme="majorHAnsi" w:cstheme="majorHAnsi"/>
          <w:b/>
          <w:bCs/>
          <w:color w:val="000000"/>
        </w:rPr>
        <w:t>auto elettriche</w:t>
      </w:r>
      <w:r>
        <w:rPr>
          <w:rFonts w:asciiTheme="majorHAnsi" w:eastAsia="Times New Roman" w:hAnsiTheme="majorHAnsi" w:cstheme="majorHAnsi"/>
          <w:color w:val="000000"/>
        </w:rPr>
        <w:t xml:space="preserve">), un’auto su due è </w:t>
      </w:r>
      <w:r w:rsidR="00E178D7">
        <w:rPr>
          <w:rFonts w:asciiTheme="majorHAnsi" w:eastAsia="Times New Roman" w:hAnsiTheme="majorHAnsi" w:cstheme="majorHAnsi"/>
          <w:color w:val="000000"/>
        </w:rPr>
        <w:t>noleggiata</w:t>
      </w:r>
      <w:r>
        <w:rPr>
          <w:rFonts w:asciiTheme="majorHAnsi" w:eastAsia="Times New Roman" w:hAnsiTheme="majorHAnsi" w:cstheme="majorHAnsi"/>
          <w:color w:val="000000"/>
        </w:rPr>
        <w:t xml:space="preserve"> dai </w:t>
      </w:r>
      <w:r w:rsidRPr="008D7F32">
        <w:rPr>
          <w:rFonts w:asciiTheme="majorHAnsi" w:eastAsia="Times New Roman" w:hAnsiTheme="majorHAnsi" w:cstheme="majorHAnsi"/>
          <w:b/>
          <w:bCs/>
          <w:color w:val="000000"/>
        </w:rPr>
        <w:t>privati</w:t>
      </w:r>
      <w:r>
        <w:rPr>
          <w:rFonts w:asciiTheme="majorHAnsi" w:eastAsia="Times New Roman" w:hAnsiTheme="majorHAnsi" w:cstheme="majorHAnsi"/>
          <w:color w:val="000000"/>
        </w:rPr>
        <w:t xml:space="preserve">. Ma il calo è evidente: quest’anno i </w:t>
      </w:r>
      <w:r w:rsidRPr="008D7F32">
        <w:rPr>
          <w:rFonts w:asciiTheme="majorHAnsi" w:eastAsia="Times New Roman" w:hAnsiTheme="majorHAnsi" w:cstheme="majorHAnsi"/>
          <w:b/>
          <w:bCs/>
          <w:color w:val="000000"/>
        </w:rPr>
        <w:t>privati</w:t>
      </w:r>
      <w:r>
        <w:rPr>
          <w:rFonts w:asciiTheme="majorHAnsi" w:eastAsia="Times New Roman" w:hAnsiTheme="majorHAnsi" w:cstheme="majorHAnsi"/>
          <w:color w:val="000000"/>
        </w:rPr>
        <w:t xml:space="preserve"> hanno perso il 10% di quota. A seguire il </w:t>
      </w:r>
      <w:r w:rsidRPr="008D7F32">
        <w:rPr>
          <w:rFonts w:asciiTheme="majorHAnsi" w:eastAsia="Times New Roman" w:hAnsiTheme="majorHAnsi" w:cstheme="majorHAnsi"/>
          <w:b/>
          <w:bCs/>
          <w:color w:val="000000"/>
        </w:rPr>
        <w:t>noleggio a lungo termine</w:t>
      </w:r>
      <w:r>
        <w:rPr>
          <w:rFonts w:asciiTheme="majorHAnsi" w:eastAsia="Times New Roman" w:hAnsiTheme="majorHAnsi" w:cstheme="majorHAnsi"/>
          <w:color w:val="000000"/>
        </w:rPr>
        <w:t xml:space="preserve"> che, viceversa, sale al 34,3%, con un recupero di quasi 9 punti. Le </w:t>
      </w:r>
      <w:r w:rsidRPr="008D7F32">
        <w:rPr>
          <w:rFonts w:asciiTheme="majorHAnsi" w:eastAsia="Times New Roman" w:hAnsiTheme="majorHAnsi" w:cstheme="majorHAnsi"/>
          <w:b/>
          <w:bCs/>
          <w:color w:val="000000"/>
        </w:rPr>
        <w:t>aziende che acquistano direttamente</w:t>
      </w:r>
      <w:r>
        <w:rPr>
          <w:rFonts w:asciiTheme="majorHAnsi" w:eastAsia="Times New Roman" w:hAnsiTheme="majorHAnsi" w:cstheme="majorHAnsi"/>
          <w:color w:val="000000"/>
        </w:rPr>
        <w:t xml:space="preserve"> rappresentano in questa fascia di emissioni quasi il 13% degli acquisti: più del doppio della quota di mercato sul mercato nel suo complesso, in cui questo canale vale il 5%.</w:t>
      </w:r>
    </w:p>
    <w:p w14:paraId="42225E94" w14:textId="53AC7328" w:rsidR="005127C0" w:rsidRDefault="005127C0" w:rsidP="003F407A">
      <w:pPr>
        <w:shd w:val="clear" w:color="auto" w:fill="FFFFFF"/>
        <w:spacing w:after="225"/>
        <w:jc w:val="both"/>
        <w:rPr>
          <w:rFonts w:asciiTheme="majorHAnsi" w:eastAsia="Times New Roman" w:hAnsiTheme="majorHAnsi" w:cstheme="majorHAnsi"/>
          <w:color w:val="000000"/>
        </w:rPr>
      </w:pPr>
      <w:r>
        <w:rPr>
          <w:rFonts w:asciiTheme="majorHAnsi" w:eastAsia="Times New Roman" w:hAnsiTheme="majorHAnsi" w:cstheme="majorHAnsi"/>
          <w:color w:val="000000"/>
        </w:rPr>
        <w:t xml:space="preserve">Nella </w:t>
      </w:r>
      <w:r w:rsidRPr="008D7F32">
        <w:rPr>
          <w:rFonts w:asciiTheme="majorHAnsi" w:eastAsia="Times New Roman" w:hAnsiTheme="majorHAnsi" w:cstheme="majorHAnsi"/>
          <w:b/>
          <w:bCs/>
          <w:color w:val="000000"/>
        </w:rPr>
        <w:t>fascia da 21 a 60 g/km di CO</w:t>
      </w:r>
      <w:r w:rsidRPr="008D7F32">
        <w:rPr>
          <w:rFonts w:asciiTheme="majorHAnsi" w:eastAsia="Times New Roman" w:hAnsiTheme="majorHAnsi" w:cstheme="majorHAnsi"/>
          <w:b/>
          <w:bCs/>
          <w:color w:val="000000"/>
          <w:vertAlign w:val="subscript"/>
        </w:rPr>
        <w:t>2</w:t>
      </w:r>
      <w:r>
        <w:rPr>
          <w:rFonts w:asciiTheme="majorHAnsi" w:eastAsia="Times New Roman" w:hAnsiTheme="majorHAnsi" w:cstheme="majorHAnsi"/>
          <w:color w:val="000000"/>
        </w:rPr>
        <w:t xml:space="preserve">, ossia quello delle auto prevalentemente con alimentazione </w:t>
      </w:r>
      <w:r w:rsidRPr="008D7F32">
        <w:rPr>
          <w:rFonts w:asciiTheme="majorHAnsi" w:eastAsia="Times New Roman" w:hAnsiTheme="majorHAnsi" w:cstheme="majorHAnsi"/>
          <w:b/>
          <w:bCs/>
          <w:color w:val="000000"/>
        </w:rPr>
        <w:t>plug-in hybrid</w:t>
      </w:r>
      <w:r>
        <w:rPr>
          <w:rFonts w:asciiTheme="majorHAnsi" w:eastAsia="Times New Roman" w:hAnsiTheme="majorHAnsi" w:cstheme="majorHAnsi"/>
          <w:color w:val="000000"/>
        </w:rPr>
        <w:t xml:space="preserve">, il </w:t>
      </w:r>
      <w:r w:rsidRPr="008D7F32">
        <w:rPr>
          <w:rFonts w:asciiTheme="majorHAnsi" w:eastAsia="Times New Roman" w:hAnsiTheme="majorHAnsi" w:cstheme="majorHAnsi"/>
          <w:b/>
          <w:bCs/>
          <w:color w:val="000000"/>
        </w:rPr>
        <w:t>noleggio a lungo termine</w:t>
      </w:r>
      <w:r>
        <w:rPr>
          <w:rFonts w:asciiTheme="majorHAnsi" w:eastAsia="Times New Roman" w:hAnsiTheme="majorHAnsi" w:cstheme="majorHAnsi"/>
          <w:color w:val="000000"/>
        </w:rPr>
        <w:t xml:space="preserve"> conquista la maggioranza, con una quota del 51,18%. Anche in questo caso, però, la </w:t>
      </w:r>
      <w:r w:rsidR="00BE4D3F">
        <w:rPr>
          <w:rFonts w:asciiTheme="majorHAnsi" w:eastAsia="Times New Roman" w:hAnsiTheme="majorHAnsi" w:cstheme="majorHAnsi"/>
          <w:color w:val="000000"/>
        </w:rPr>
        <w:t>quota di mercato</w:t>
      </w:r>
      <w:r>
        <w:rPr>
          <w:rFonts w:asciiTheme="majorHAnsi" w:eastAsia="Times New Roman" w:hAnsiTheme="majorHAnsi" w:cstheme="majorHAnsi"/>
          <w:color w:val="000000"/>
        </w:rPr>
        <w:t xml:space="preserve"> è diminuita di ben 8 punti abbondanti. I </w:t>
      </w:r>
      <w:r w:rsidRPr="008D7F32">
        <w:rPr>
          <w:rFonts w:asciiTheme="majorHAnsi" w:eastAsia="Times New Roman" w:hAnsiTheme="majorHAnsi" w:cstheme="majorHAnsi"/>
          <w:b/>
          <w:bCs/>
          <w:color w:val="000000"/>
        </w:rPr>
        <w:t>privati</w:t>
      </w:r>
      <w:r>
        <w:rPr>
          <w:rFonts w:asciiTheme="majorHAnsi" w:eastAsia="Times New Roman" w:hAnsiTheme="majorHAnsi" w:cstheme="majorHAnsi"/>
          <w:color w:val="000000"/>
        </w:rPr>
        <w:t xml:space="preserve"> sono al 32% (+3 punti), mentre le </w:t>
      </w:r>
      <w:r w:rsidRPr="008D7F32">
        <w:rPr>
          <w:rFonts w:asciiTheme="majorHAnsi" w:eastAsia="Times New Roman" w:hAnsiTheme="majorHAnsi" w:cstheme="majorHAnsi"/>
          <w:b/>
          <w:bCs/>
          <w:color w:val="000000"/>
        </w:rPr>
        <w:t>aziende</w:t>
      </w:r>
      <w:r>
        <w:rPr>
          <w:rFonts w:asciiTheme="majorHAnsi" w:eastAsia="Times New Roman" w:hAnsiTheme="majorHAnsi" w:cstheme="majorHAnsi"/>
          <w:color w:val="000000"/>
        </w:rPr>
        <w:t xml:space="preserve"> che acquistano direttamente</w:t>
      </w:r>
      <w:r w:rsidR="00222500">
        <w:rPr>
          <w:rFonts w:asciiTheme="majorHAnsi" w:eastAsia="Times New Roman" w:hAnsiTheme="majorHAnsi" w:cstheme="majorHAnsi"/>
          <w:color w:val="000000"/>
        </w:rPr>
        <w:t xml:space="preserve"> sfiorano il 10%, con una crescita che rappresenta un raddoppio di quota.</w:t>
      </w:r>
    </w:p>
    <w:p w14:paraId="3F3E118F" w14:textId="61E138A2" w:rsidR="008658B8" w:rsidRPr="008658B8" w:rsidRDefault="008658B8" w:rsidP="003F407A">
      <w:pPr>
        <w:shd w:val="clear" w:color="auto" w:fill="FFFFFF"/>
        <w:spacing w:after="225"/>
        <w:jc w:val="both"/>
        <w:rPr>
          <w:rFonts w:asciiTheme="majorHAnsi" w:hAnsiTheme="majorHAnsi" w:cstheme="majorHAnsi"/>
          <w:color w:val="1F497D" w:themeColor="text2"/>
        </w:rPr>
      </w:pPr>
      <w:r>
        <w:rPr>
          <w:rFonts w:asciiTheme="majorHAnsi" w:eastAsia="Times New Roman" w:hAnsiTheme="majorHAnsi" w:cstheme="majorHAnsi"/>
          <w:color w:val="000000"/>
        </w:rPr>
        <w:t xml:space="preserve">Nella </w:t>
      </w:r>
      <w:r w:rsidRPr="008D7F32">
        <w:rPr>
          <w:rFonts w:asciiTheme="majorHAnsi" w:eastAsia="Times New Roman" w:hAnsiTheme="majorHAnsi" w:cstheme="majorHAnsi"/>
          <w:b/>
          <w:bCs/>
          <w:color w:val="000000"/>
        </w:rPr>
        <w:t>fascia da 61 a 135 g/km di CO</w:t>
      </w:r>
      <w:r w:rsidRPr="00222500">
        <w:rPr>
          <w:rFonts w:asciiTheme="majorHAnsi" w:eastAsia="Times New Roman" w:hAnsiTheme="majorHAnsi" w:cstheme="majorHAnsi"/>
          <w:color w:val="000000"/>
          <w:vertAlign w:val="subscript"/>
        </w:rPr>
        <w:t>2</w:t>
      </w:r>
      <w:r>
        <w:rPr>
          <w:rFonts w:asciiTheme="majorHAnsi" w:eastAsia="Times New Roman" w:hAnsiTheme="majorHAnsi" w:cstheme="majorHAnsi"/>
          <w:color w:val="000000"/>
        </w:rPr>
        <w:t xml:space="preserve">, l’ultima considerata dagli incentivi statali, è netto il predominio dei clienti </w:t>
      </w:r>
      <w:r w:rsidRPr="008D7F32">
        <w:rPr>
          <w:rFonts w:asciiTheme="majorHAnsi" w:eastAsia="Times New Roman" w:hAnsiTheme="majorHAnsi" w:cstheme="majorHAnsi"/>
          <w:b/>
          <w:bCs/>
          <w:color w:val="000000"/>
        </w:rPr>
        <w:t>privati</w:t>
      </w:r>
      <w:r>
        <w:rPr>
          <w:rFonts w:asciiTheme="majorHAnsi" w:eastAsia="Times New Roman" w:hAnsiTheme="majorHAnsi" w:cstheme="majorHAnsi"/>
          <w:color w:val="000000"/>
        </w:rPr>
        <w:t xml:space="preserve"> (75,5%, in calo però di oltre 4 punti). Il </w:t>
      </w:r>
      <w:r w:rsidRPr="008D7F32">
        <w:rPr>
          <w:rFonts w:asciiTheme="majorHAnsi" w:eastAsia="Times New Roman" w:hAnsiTheme="majorHAnsi" w:cstheme="majorHAnsi"/>
          <w:b/>
          <w:bCs/>
          <w:color w:val="000000"/>
        </w:rPr>
        <w:t>noleggio a lungo termine</w:t>
      </w:r>
      <w:r>
        <w:rPr>
          <w:rFonts w:asciiTheme="majorHAnsi" w:eastAsia="Times New Roman" w:hAnsiTheme="majorHAnsi" w:cstheme="majorHAnsi"/>
          <w:color w:val="000000"/>
        </w:rPr>
        <w:t xml:space="preserve"> è la seconda forza del mercato: 20% di market share, in crescita di quasi 6 punti percentuali. Anche nelle </w:t>
      </w:r>
      <w:r w:rsidRPr="008D7F32">
        <w:rPr>
          <w:rFonts w:asciiTheme="majorHAnsi" w:eastAsia="Times New Roman" w:hAnsiTheme="majorHAnsi" w:cstheme="majorHAnsi"/>
          <w:b/>
          <w:bCs/>
          <w:color w:val="000000"/>
        </w:rPr>
        <w:t>due fasce successive</w:t>
      </w:r>
      <w:r>
        <w:rPr>
          <w:rFonts w:asciiTheme="majorHAnsi" w:eastAsia="Times New Roman" w:hAnsiTheme="majorHAnsi" w:cstheme="majorHAnsi"/>
          <w:color w:val="000000"/>
        </w:rPr>
        <w:t xml:space="preserve"> (136-160 g/km e 161-190 g/km) è evidente che la maggior parte delle auto sono acquistate dai </w:t>
      </w:r>
      <w:r w:rsidRPr="008D7F32">
        <w:rPr>
          <w:rFonts w:asciiTheme="majorHAnsi" w:eastAsia="Times New Roman" w:hAnsiTheme="majorHAnsi" w:cstheme="majorHAnsi"/>
          <w:b/>
          <w:bCs/>
          <w:color w:val="000000"/>
        </w:rPr>
        <w:t>privati</w:t>
      </w:r>
      <w:r>
        <w:rPr>
          <w:rFonts w:asciiTheme="majorHAnsi" w:eastAsia="Times New Roman" w:hAnsiTheme="majorHAnsi" w:cstheme="majorHAnsi"/>
          <w:color w:val="000000"/>
        </w:rPr>
        <w:t xml:space="preserve">. Però, più crescono i livelli di emissioni, più aumentano le </w:t>
      </w:r>
      <w:r w:rsidRPr="008D7F32">
        <w:rPr>
          <w:rFonts w:asciiTheme="majorHAnsi" w:eastAsia="Times New Roman" w:hAnsiTheme="majorHAnsi" w:cstheme="majorHAnsi"/>
          <w:b/>
          <w:bCs/>
          <w:color w:val="000000"/>
        </w:rPr>
        <w:t>immatricolazioni aziendali</w:t>
      </w:r>
      <w:r>
        <w:rPr>
          <w:rFonts w:asciiTheme="majorHAnsi" w:eastAsia="Times New Roman" w:hAnsiTheme="majorHAnsi" w:cstheme="majorHAnsi"/>
          <w:color w:val="000000"/>
        </w:rPr>
        <w:t xml:space="preserve">: nella fascia </w:t>
      </w:r>
      <w:r w:rsidRPr="008D7F32">
        <w:rPr>
          <w:rFonts w:asciiTheme="majorHAnsi" w:eastAsia="Times New Roman" w:hAnsiTheme="majorHAnsi" w:cstheme="majorHAnsi"/>
          <w:b/>
          <w:bCs/>
          <w:color w:val="000000"/>
        </w:rPr>
        <w:t>fino a 160 g/km</w:t>
      </w:r>
      <w:r>
        <w:rPr>
          <w:rFonts w:asciiTheme="majorHAnsi" w:eastAsia="Times New Roman" w:hAnsiTheme="majorHAnsi" w:cstheme="majorHAnsi"/>
          <w:color w:val="000000"/>
        </w:rPr>
        <w:t xml:space="preserve"> la quota delle auto intestate ai </w:t>
      </w:r>
      <w:r w:rsidRPr="008D7F32">
        <w:rPr>
          <w:rFonts w:asciiTheme="majorHAnsi" w:eastAsia="Times New Roman" w:hAnsiTheme="majorHAnsi" w:cstheme="majorHAnsi"/>
          <w:b/>
          <w:bCs/>
          <w:color w:val="000000"/>
        </w:rPr>
        <w:t>clienti business</w:t>
      </w:r>
      <w:r>
        <w:rPr>
          <w:rFonts w:asciiTheme="majorHAnsi" w:eastAsia="Times New Roman" w:hAnsiTheme="majorHAnsi" w:cstheme="majorHAnsi"/>
          <w:color w:val="000000"/>
        </w:rPr>
        <w:t xml:space="preserve"> è soltanto del 3,75%, in quella </w:t>
      </w:r>
      <w:r w:rsidRPr="008D7F32">
        <w:rPr>
          <w:rFonts w:asciiTheme="majorHAnsi" w:eastAsia="Times New Roman" w:hAnsiTheme="majorHAnsi" w:cstheme="majorHAnsi"/>
          <w:b/>
          <w:bCs/>
          <w:color w:val="000000"/>
        </w:rPr>
        <w:t>fino a 190 g/km</w:t>
      </w:r>
      <w:r>
        <w:rPr>
          <w:rFonts w:asciiTheme="majorHAnsi" w:eastAsia="Times New Roman" w:hAnsiTheme="majorHAnsi" w:cstheme="majorHAnsi"/>
          <w:color w:val="000000"/>
        </w:rPr>
        <w:t xml:space="preserve"> questa quota sale fino a sfiorare il 16%. Costante, invece, l’apporto del </w:t>
      </w:r>
      <w:r w:rsidRPr="008D7F32">
        <w:rPr>
          <w:rFonts w:asciiTheme="majorHAnsi" w:eastAsia="Times New Roman" w:hAnsiTheme="majorHAnsi" w:cstheme="majorHAnsi"/>
          <w:b/>
          <w:bCs/>
          <w:color w:val="000000"/>
        </w:rPr>
        <w:t>NLT</w:t>
      </w:r>
      <w:r>
        <w:rPr>
          <w:rFonts w:asciiTheme="majorHAnsi" w:eastAsia="Times New Roman" w:hAnsiTheme="majorHAnsi" w:cstheme="majorHAnsi"/>
          <w:color w:val="000000"/>
        </w:rPr>
        <w:t xml:space="preserve">: attorno al 20% di market share. </w:t>
      </w:r>
      <w:r w:rsidRPr="008D7F32">
        <w:rPr>
          <w:rFonts w:asciiTheme="majorHAnsi" w:eastAsia="Times New Roman" w:hAnsiTheme="majorHAnsi" w:cstheme="majorHAnsi"/>
          <w:b/>
          <w:bCs/>
          <w:color w:val="000000"/>
        </w:rPr>
        <w:t>Nell’ultima fascia di emissioni</w:t>
      </w:r>
      <w:r>
        <w:rPr>
          <w:rFonts w:asciiTheme="majorHAnsi" w:eastAsia="Times New Roman" w:hAnsiTheme="majorHAnsi" w:cstheme="majorHAnsi"/>
          <w:color w:val="000000"/>
        </w:rPr>
        <w:t xml:space="preserve">, quella dei veicoli che superano i 190 g/km, la rilevanza dell’utenza </w:t>
      </w:r>
      <w:r w:rsidRPr="008D7F32">
        <w:rPr>
          <w:rFonts w:asciiTheme="majorHAnsi" w:eastAsia="Times New Roman" w:hAnsiTheme="majorHAnsi" w:cstheme="majorHAnsi"/>
          <w:b/>
          <w:bCs/>
          <w:color w:val="000000"/>
        </w:rPr>
        <w:t>business</w:t>
      </w:r>
      <w:r>
        <w:rPr>
          <w:rFonts w:asciiTheme="majorHAnsi" w:eastAsia="Times New Roman" w:hAnsiTheme="majorHAnsi" w:cstheme="majorHAnsi"/>
          <w:color w:val="000000"/>
        </w:rPr>
        <w:t xml:space="preserve"> in proprietà è ancora più alta: 34% (in calo dell’1%) e quindi molto vicina al 41,5% dei </w:t>
      </w:r>
      <w:r w:rsidRPr="008D7F32">
        <w:rPr>
          <w:rFonts w:asciiTheme="majorHAnsi" w:eastAsia="Times New Roman" w:hAnsiTheme="majorHAnsi" w:cstheme="majorHAnsi"/>
          <w:b/>
          <w:bCs/>
          <w:color w:val="000000"/>
        </w:rPr>
        <w:t>privati</w:t>
      </w:r>
      <w:r>
        <w:rPr>
          <w:rFonts w:asciiTheme="majorHAnsi" w:eastAsia="Times New Roman" w:hAnsiTheme="majorHAnsi" w:cstheme="majorHAnsi"/>
          <w:color w:val="000000"/>
        </w:rPr>
        <w:t xml:space="preserve"> (in flessione di 4,5 punti). Il </w:t>
      </w:r>
      <w:r w:rsidRPr="008D7F32">
        <w:rPr>
          <w:rFonts w:asciiTheme="majorHAnsi" w:eastAsia="Times New Roman" w:hAnsiTheme="majorHAnsi" w:cstheme="majorHAnsi"/>
          <w:b/>
          <w:bCs/>
          <w:color w:val="000000"/>
        </w:rPr>
        <w:t>noleggio a lungo termine</w:t>
      </w:r>
      <w:r>
        <w:rPr>
          <w:rFonts w:asciiTheme="majorHAnsi" w:eastAsia="Times New Roman" w:hAnsiTheme="majorHAnsi" w:cstheme="majorHAnsi"/>
          <w:color w:val="000000"/>
        </w:rPr>
        <w:t xml:space="preserve"> vale in questo segmento il 16,4%, in crescita di 2,5 punti abbondanti.</w:t>
      </w:r>
    </w:p>
    <w:p w14:paraId="3FDD800B" w14:textId="184690F8" w:rsidR="003F407A" w:rsidRDefault="003F407A" w:rsidP="003F407A">
      <w:pPr>
        <w:jc w:val="center"/>
        <w:rPr>
          <w:rFonts w:asciiTheme="majorHAnsi" w:hAnsiTheme="majorHAnsi" w:cstheme="majorHAnsi"/>
          <w:color w:val="1F497D" w:themeColor="text2"/>
        </w:rPr>
      </w:pPr>
    </w:p>
    <w:p w14:paraId="2C2DDD9F" w14:textId="38E84AF2" w:rsidR="00837B5A" w:rsidRDefault="00F2740D" w:rsidP="00837B5A">
      <w:pPr>
        <w:shd w:val="clear" w:color="auto" w:fill="FFFFFF"/>
        <w:spacing w:after="225"/>
        <w:jc w:val="both"/>
        <w:rPr>
          <w:rFonts w:asciiTheme="majorHAnsi" w:eastAsia="Times New Roman" w:hAnsiTheme="majorHAnsi" w:cstheme="majorHAnsi"/>
          <w:color w:val="000000"/>
        </w:rPr>
      </w:pPr>
      <w:r>
        <w:rPr>
          <w:noProof/>
        </w:rPr>
        <w:drawing>
          <wp:inline distT="0" distB="0" distL="0" distR="0" wp14:anchorId="48843C5F" wp14:editId="052C100D">
            <wp:extent cx="6475730" cy="7597775"/>
            <wp:effectExtent l="0" t="0" r="1270" b="3175"/>
            <wp:docPr id="1247363226" name="Immagine 21" descr="Immagine che contiene testo, schermata, numero, Parallelo&#10;&#10;Descrizione generata automa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63226" name="Immagine 21" descr="Immagine che contiene testo, schermata, numero, Parallelo&#10;&#10;Descrizione generata automaticamente">
                      <a:hlinkClick r:id="rId1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5730" cy="7597775"/>
                    </a:xfrm>
                    <a:prstGeom prst="rect">
                      <a:avLst/>
                    </a:prstGeom>
                    <a:noFill/>
                    <a:ln>
                      <a:noFill/>
                    </a:ln>
                  </pic:spPr>
                </pic:pic>
              </a:graphicData>
            </a:graphic>
          </wp:inline>
        </w:drawing>
      </w:r>
    </w:p>
    <w:p w14:paraId="0FEC87DA" w14:textId="09BFEC19" w:rsidR="00B65608" w:rsidRPr="00B65608" w:rsidRDefault="00000000" w:rsidP="00B65608">
      <w:pPr>
        <w:jc w:val="both"/>
        <w:rPr>
          <w:rFonts w:asciiTheme="majorHAnsi" w:hAnsiTheme="majorHAnsi" w:cstheme="majorHAnsi"/>
        </w:rPr>
      </w:pPr>
      <w:r>
        <w:rPr>
          <w:rFonts w:asciiTheme="majorHAnsi" w:hAnsiTheme="majorHAnsi" w:cstheme="majorHAnsi"/>
          <w:noProof/>
        </w:rPr>
        <w:pict w14:anchorId="5D333105">
          <v:rect id="_x0000_i1025" alt="" style="width:509.9pt;height:.05pt;mso-width-percent:0;mso-height-percent:0;mso-width-percent:0;mso-height-percent:0" o:hralign="center" o:hrstd="t" o:hr="t" fillcolor="#a0a0a0" stroked="f"/>
        </w:pict>
      </w:r>
    </w:p>
    <w:p w14:paraId="0024736A" w14:textId="04DCE057" w:rsidR="00B65608" w:rsidRPr="00B65608" w:rsidRDefault="00B65608" w:rsidP="00B65608">
      <w:pPr>
        <w:shd w:val="clear" w:color="auto" w:fill="FFFFFF"/>
        <w:jc w:val="center"/>
        <w:rPr>
          <w:rFonts w:asciiTheme="majorHAnsi" w:hAnsiTheme="majorHAnsi" w:cstheme="majorHAnsi"/>
          <w:i/>
        </w:rPr>
      </w:pPr>
      <w:r w:rsidRPr="00B65608">
        <w:rPr>
          <w:rFonts w:asciiTheme="majorHAnsi" w:hAnsiTheme="majorHAnsi" w:cstheme="majorHAnsi"/>
          <w:i/>
        </w:rPr>
        <w:t>In caso di pubblicazione dei dati esposti, citare sempre</w:t>
      </w:r>
    </w:p>
    <w:p w14:paraId="1FC0F7C1" w14:textId="7F72BC32" w:rsidR="00004039" w:rsidRPr="00F2740D" w:rsidRDefault="00B65608" w:rsidP="00F2740D">
      <w:pPr>
        <w:shd w:val="clear" w:color="auto" w:fill="FFFFFF"/>
        <w:jc w:val="center"/>
        <w:rPr>
          <w:rFonts w:asciiTheme="majorHAnsi" w:hAnsiTheme="majorHAnsi" w:cstheme="majorHAnsi"/>
          <w:i/>
        </w:rPr>
      </w:pPr>
      <w:r w:rsidRPr="00B65608">
        <w:rPr>
          <w:rFonts w:asciiTheme="majorHAnsi" w:hAnsiTheme="majorHAnsi" w:cstheme="majorHAnsi"/>
          <w:i/>
        </w:rPr>
        <w:t>“Elaborazione Dataforce su fonte Ministero Infrastrutture e Trasporti e ACI</w:t>
      </w:r>
      <w:r>
        <w:rPr>
          <w:rFonts w:asciiTheme="majorHAnsi" w:hAnsiTheme="majorHAnsi" w:cstheme="majorHAnsi"/>
          <w:i/>
        </w:rPr>
        <w:t>”</w:t>
      </w:r>
    </w:p>
    <w:p w14:paraId="47458096" w14:textId="77777777" w:rsidR="00522750" w:rsidRPr="00B65608" w:rsidRDefault="00522750" w:rsidP="00417FA3">
      <w:pPr>
        <w:pStyle w:val="Titolo1"/>
        <w:jc w:val="center"/>
        <w:rPr>
          <w:rFonts w:asciiTheme="majorHAnsi" w:hAnsiTheme="majorHAnsi" w:cstheme="majorHAnsi"/>
          <w:color w:val="1F497D" w:themeColor="text2"/>
          <w:sz w:val="24"/>
          <w:szCs w:val="24"/>
        </w:rPr>
        <w:sectPr w:rsidR="00522750" w:rsidRPr="00B65608" w:rsidSect="00AB5DCE">
          <w:headerReference w:type="default" r:id="rId18"/>
          <w:footerReference w:type="default" r:id="rId19"/>
          <w:pgSz w:w="11900" w:h="16840"/>
          <w:pgMar w:top="1418" w:right="851" w:bottom="2127" w:left="851" w:header="709" w:footer="709" w:gutter="0"/>
          <w:pgNumType w:start="1"/>
          <w:cols w:space="720"/>
        </w:sectPr>
      </w:pPr>
    </w:p>
    <w:p w14:paraId="151E9BA6" w14:textId="77777777" w:rsidR="00AE2539" w:rsidRPr="00B65608" w:rsidRDefault="00AE2539" w:rsidP="00AE2539"/>
    <w:bookmarkStart w:id="0" w:name="_gjdgxs" w:colFirst="0" w:colLast="0"/>
    <w:bookmarkStart w:id="1" w:name="_Hlk108088858"/>
    <w:bookmarkEnd w:id="0"/>
    <w:bookmarkEnd w:id="1"/>
    <w:p w14:paraId="295C8D5A" w14:textId="329B0FF8" w:rsidR="00804C70" w:rsidRPr="0070259A" w:rsidRDefault="0070259A" w:rsidP="00804C70">
      <w:pPr>
        <w:jc w:val="center"/>
        <w:rPr>
          <w:rStyle w:val="Collegamentoipertestuale"/>
          <w:rFonts w:asciiTheme="majorHAnsi" w:hAnsiTheme="majorHAnsi" w:cstheme="majorHAnsi"/>
          <w:b/>
          <w:color w:val="auto"/>
          <w:sz w:val="40"/>
          <w:szCs w:val="40"/>
        </w:rPr>
      </w:pPr>
      <w:r w:rsidRPr="0070259A">
        <w:rPr>
          <w:rFonts w:asciiTheme="majorHAnsi" w:hAnsiTheme="majorHAnsi" w:cstheme="majorHAnsi"/>
          <w:b/>
          <w:sz w:val="40"/>
          <w:szCs w:val="40"/>
        </w:rPr>
        <w:fldChar w:fldCharType="begin"/>
      </w:r>
      <w:r w:rsidRPr="0070259A">
        <w:rPr>
          <w:rFonts w:asciiTheme="majorHAnsi" w:hAnsiTheme="majorHAnsi" w:cstheme="majorHAnsi"/>
          <w:b/>
          <w:sz w:val="40"/>
          <w:szCs w:val="40"/>
        </w:rPr>
        <w:instrText>HYPERLINK "https://www.dataforce.de/it/tutte-le-notizie/focus-noleggio-aniasa-dataforce-primo-trimestre-2024/"</w:instrText>
      </w:r>
      <w:r w:rsidRPr="0070259A">
        <w:rPr>
          <w:rFonts w:asciiTheme="majorHAnsi" w:hAnsiTheme="majorHAnsi" w:cstheme="majorHAnsi"/>
          <w:b/>
          <w:sz w:val="40"/>
          <w:szCs w:val="40"/>
        </w:rPr>
      </w:r>
      <w:r w:rsidRPr="0070259A">
        <w:rPr>
          <w:rFonts w:asciiTheme="majorHAnsi" w:hAnsiTheme="majorHAnsi" w:cstheme="majorHAnsi"/>
          <w:b/>
          <w:sz w:val="40"/>
          <w:szCs w:val="40"/>
        </w:rPr>
        <w:fldChar w:fldCharType="separate"/>
      </w:r>
      <w:r w:rsidR="00804C70" w:rsidRPr="0070259A">
        <w:rPr>
          <w:rStyle w:val="Collegamentoipertestuale"/>
          <w:rFonts w:asciiTheme="majorHAnsi" w:hAnsiTheme="majorHAnsi" w:cstheme="majorHAnsi"/>
          <w:b/>
          <w:color w:val="auto"/>
          <w:sz w:val="40"/>
          <w:szCs w:val="40"/>
        </w:rPr>
        <w:t>Noleggio a Lungo e Breve termine: primo trimestre 2024</w:t>
      </w:r>
    </w:p>
    <w:p w14:paraId="505E0318" w14:textId="4F416CEC" w:rsidR="00290198" w:rsidRPr="0070259A" w:rsidRDefault="00804C70" w:rsidP="00D73C06">
      <w:pPr>
        <w:jc w:val="center"/>
        <w:rPr>
          <w:rStyle w:val="Collegamentoipertestuale"/>
          <w:rFonts w:asciiTheme="majorHAnsi" w:hAnsiTheme="majorHAnsi" w:cstheme="majorHAnsi"/>
          <w:b/>
          <w:color w:val="auto"/>
          <w:kern w:val="36"/>
          <w:sz w:val="36"/>
          <w:szCs w:val="36"/>
        </w:rPr>
      </w:pPr>
      <w:r w:rsidRPr="0070259A">
        <w:rPr>
          <w:rStyle w:val="Collegamentoipertestuale"/>
          <w:rFonts w:asciiTheme="majorHAnsi" w:hAnsiTheme="majorHAnsi" w:cstheme="majorHAnsi"/>
          <w:i/>
          <w:iCs/>
          <w:color w:val="auto"/>
          <w:sz w:val="32"/>
          <w:szCs w:val="32"/>
        </w:rPr>
        <w:t>Focus Noleggio per Operatore e Forecast a cura di Dataforce</w:t>
      </w:r>
    </w:p>
    <w:p w14:paraId="3F17F62B" w14:textId="1539EB02" w:rsidR="00D73C06" w:rsidRDefault="0070259A" w:rsidP="00D73C06">
      <w:pPr>
        <w:jc w:val="center"/>
        <w:rPr>
          <w:rFonts w:asciiTheme="majorHAnsi" w:hAnsiTheme="majorHAnsi" w:cstheme="majorHAnsi"/>
          <w:b/>
        </w:rPr>
      </w:pPr>
      <w:r w:rsidRPr="0070259A">
        <w:rPr>
          <w:rFonts w:asciiTheme="majorHAnsi" w:hAnsiTheme="majorHAnsi" w:cstheme="majorHAnsi"/>
          <w:b/>
          <w:sz w:val="40"/>
          <w:szCs w:val="40"/>
        </w:rPr>
        <w:fldChar w:fldCharType="end"/>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18"/>
      </w:tblGrid>
      <w:tr w:rsidR="002160C5" w14:paraId="5512679F" w14:textId="77777777" w:rsidTr="00D73C06">
        <w:tc>
          <w:tcPr>
            <w:tcW w:w="5670" w:type="dxa"/>
            <w:vAlign w:val="center"/>
          </w:tcPr>
          <w:p w14:paraId="5466D649" w14:textId="1E023464" w:rsidR="002160C5" w:rsidRDefault="00000000" w:rsidP="00D73C06">
            <w:pPr>
              <w:jc w:val="right"/>
              <w:rPr>
                <w:rFonts w:asciiTheme="majorHAnsi" w:hAnsiTheme="majorHAnsi" w:cstheme="majorHAnsi"/>
                <w:b/>
              </w:rPr>
            </w:pPr>
            <w:hyperlink r:id="rId20" w:history="1">
              <w:r w:rsidR="002160C5" w:rsidRPr="00D73C06">
                <w:rPr>
                  <w:rStyle w:val="Collegamentoipertestuale"/>
                  <w:rFonts w:asciiTheme="majorHAnsi" w:eastAsia="Cambria" w:hAnsiTheme="majorHAnsi" w:cstheme="majorHAnsi"/>
                  <w:b/>
                  <w:color w:val="auto"/>
                  <w:sz w:val="24"/>
                  <w:szCs w:val="24"/>
                </w:rPr>
                <w:t xml:space="preserve">Clicca qui per il video del comunicato stampa </w:t>
              </w:r>
              <w:r w:rsidR="002160C5" w:rsidRPr="00D73C06">
                <w:rPr>
                  <w:rStyle w:val="Collegamentoipertestuale"/>
                  <w:rFonts w:asciiTheme="majorHAnsi" w:hAnsiTheme="majorHAnsi" w:cstheme="majorHAnsi"/>
                  <w:b/>
                  <w:color w:val="auto"/>
                </w:rPr>
                <w:sym w:font="Wingdings" w:char="F0E0"/>
              </w:r>
            </w:hyperlink>
          </w:p>
        </w:tc>
        <w:tc>
          <w:tcPr>
            <w:tcW w:w="4518" w:type="dxa"/>
          </w:tcPr>
          <w:p w14:paraId="083785BD" w14:textId="47F23896" w:rsidR="002160C5" w:rsidRDefault="002160C5" w:rsidP="00290198">
            <w:pPr>
              <w:jc w:val="center"/>
              <w:rPr>
                <w:rFonts w:asciiTheme="majorHAnsi" w:hAnsiTheme="majorHAnsi" w:cstheme="majorHAnsi"/>
                <w:b/>
              </w:rPr>
            </w:pPr>
            <w:r w:rsidRPr="00B65608">
              <w:rPr>
                <w:rFonts w:asciiTheme="majorHAnsi" w:hAnsiTheme="majorHAnsi" w:cstheme="majorHAnsi"/>
                <w:b/>
                <w:noProof/>
                <w:color w:val="1F497D" w:themeColor="text2"/>
                <w:sz w:val="36"/>
                <w:szCs w:val="36"/>
              </w:rPr>
              <w:drawing>
                <wp:anchor distT="0" distB="0" distL="114300" distR="114300" simplePos="0" relativeHeight="251659264" behindDoc="0" locked="0" layoutInCell="1" allowOverlap="1" wp14:anchorId="3271B9D2" wp14:editId="55A09A52">
                  <wp:simplePos x="0" y="0"/>
                  <wp:positionH relativeFrom="margin">
                    <wp:posOffset>-36830</wp:posOffset>
                  </wp:positionH>
                  <wp:positionV relativeFrom="page">
                    <wp:posOffset>0</wp:posOffset>
                  </wp:positionV>
                  <wp:extent cx="2386965" cy="798830"/>
                  <wp:effectExtent l="0" t="0" r="0" b="1270"/>
                  <wp:wrapThrough wrapText="bothSides">
                    <wp:wrapPolygon edited="0">
                      <wp:start x="0" y="0"/>
                      <wp:lineTo x="0" y="21119"/>
                      <wp:lineTo x="21376" y="21119"/>
                      <wp:lineTo x="21376" y="0"/>
                      <wp:lineTo x="0" y="0"/>
                    </wp:wrapPolygon>
                  </wp:wrapThrough>
                  <wp:docPr id="830381064" name="Immagine 83038106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381064" name="Immagine 830381064">
                            <a:hlinkClick r:id="rId20"/>
                          </pic:cNvPr>
                          <pic:cNvPicPr/>
                        </pic:nvPicPr>
                        <pic:blipFill>
                          <a:blip r:embed="rId21"/>
                          <a:stretch>
                            <a:fillRect/>
                          </a:stretch>
                        </pic:blipFill>
                        <pic:spPr>
                          <a:xfrm>
                            <a:off x="0" y="0"/>
                            <a:ext cx="2386965" cy="798830"/>
                          </a:xfrm>
                          <a:prstGeom prst="rect">
                            <a:avLst/>
                          </a:prstGeom>
                        </pic:spPr>
                      </pic:pic>
                    </a:graphicData>
                  </a:graphic>
                  <wp14:sizeRelH relativeFrom="margin">
                    <wp14:pctWidth>0</wp14:pctWidth>
                  </wp14:sizeRelH>
                  <wp14:sizeRelV relativeFrom="margin">
                    <wp14:pctHeight>0</wp14:pctHeight>
                  </wp14:sizeRelV>
                </wp:anchor>
              </w:drawing>
            </w:r>
          </w:p>
        </w:tc>
      </w:tr>
    </w:tbl>
    <w:p w14:paraId="6A0A2DD5" w14:textId="77777777" w:rsidR="002160C5" w:rsidRPr="00B65608" w:rsidRDefault="002160C5" w:rsidP="00290198">
      <w:pPr>
        <w:jc w:val="center"/>
        <w:rPr>
          <w:rFonts w:asciiTheme="majorHAnsi" w:hAnsiTheme="majorHAnsi" w:cstheme="majorHAnsi"/>
          <w:b/>
        </w:rPr>
      </w:pPr>
    </w:p>
    <w:p w14:paraId="29DB1048" w14:textId="2E26A94C" w:rsidR="00986311" w:rsidRPr="008D5211" w:rsidRDefault="006C7D91" w:rsidP="008D7F32">
      <w:pPr>
        <w:jc w:val="both"/>
        <w:rPr>
          <w:rFonts w:asciiTheme="majorHAnsi" w:hAnsiTheme="majorHAnsi" w:cstheme="majorHAnsi"/>
          <w:b/>
        </w:rPr>
      </w:pPr>
      <w:r w:rsidRPr="008D5211">
        <w:rPr>
          <w:rFonts w:asciiTheme="majorHAnsi" w:hAnsiTheme="majorHAnsi" w:cstheme="majorHAnsi"/>
          <w:b/>
        </w:rPr>
        <w:t>NOTA METODOLOGICA:</w:t>
      </w:r>
    </w:p>
    <w:p w14:paraId="0EBFA726" w14:textId="7347D37E" w:rsidR="00986311" w:rsidRPr="008D5211" w:rsidRDefault="00986311" w:rsidP="008D7F32">
      <w:pPr>
        <w:jc w:val="both"/>
        <w:rPr>
          <w:rFonts w:asciiTheme="majorHAnsi" w:hAnsiTheme="majorHAnsi" w:cstheme="majorHAnsi"/>
          <w:b/>
        </w:rPr>
      </w:pPr>
      <w:r w:rsidRPr="008D5211">
        <w:rPr>
          <w:rFonts w:asciiTheme="majorHAnsi" w:hAnsiTheme="majorHAnsi" w:cstheme="majorHAnsi"/>
          <w:b/>
        </w:rPr>
        <w:t>Questa sezione sviluppata da Dataforce presenta l’analisi de</w:t>
      </w:r>
      <w:r w:rsidR="00BF152D" w:rsidRPr="008D5211">
        <w:rPr>
          <w:rFonts w:asciiTheme="majorHAnsi" w:hAnsiTheme="majorHAnsi" w:cstheme="majorHAnsi"/>
          <w:b/>
        </w:rPr>
        <w:t xml:space="preserve">i due comparti del Noleggio a Lungo e Breve Termine con la riclassificazione delle </w:t>
      </w:r>
      <w:r w:rsidR="006E0848" w:rsidRPr="008D5211">
        <w:rPr>
          <w:rFonts w:asciiTheme="majorHAnsi" w:hAnsiTheme="majorHAnsi" w:cstheme="majorHAnsi"/>
          <w:b/>
        </w:rPr>
        <w:t>immatricolazioni</w:t>
      </w:r>
      <w:r w:rsidR="00BF152D" w:rsidRPr="008D5211">
        <w:rPr>
          <w:rFonts w:asciiTheme="majorHAnsi" w:hAnsiTheme="majorHAnsi" w:cstheme="majorHAnsi"/>
          <w:b/>
        </w:rPr>
        <w:t xml:space="preserve"> di rent-to-rent che vengono </w:t>
      </w:r>
      <w:r w:rsidR="006E0848" w:rsidRPr="008D5211">
        <w:rPr>
          <w:rFonts w:asciiTheme="majorHAnsi" w:hAnsiTheme="majorHAnsi" w:cstheme="majorHAnsi"/>
          <w:b/>
        </w:rPr>
        <w:t>correttamente imputate al reale utilizzatore, ovvero le società di Noleggio a Breve Termine. Per questo motivo</w:t>
      </w:r>
      <w:r w:rsidR="00CB17CD" w:rsidRPr="008D5211">
        <w:rPr>
          <w:rFonts w:asciiTheme="majorHAnsi" w:hAnsiTheme="majorHAnsi" w:cstheme="majorHAnsi"/>
          <w:b/>
        </w:rPr>
        <w:t>, la lettura del mercato è profondamente diversa.</w:t>
      </w:r>
    </w:p>
    <w:p w14:paraId="03BC4AA2" w14:textId="77777777" w:rsidR="00986311" w:rsidRDefault="00986311" w:rsidP="008D7F32">
      <w:pPr>
        <w:jc w:val="both"/>
        <w:rPr>
          <w:rFonts w:asciiTheme="majorHAnsi" w:hAnsiTheme="majorHAnsi" w:cstheme="majorHAnsi"/>
          <w:b/>
        </w:rPr>
      </w:pPr>
    </w:p>
    <w:p w14:paraId="26ED2950" w14:textId="6DA9E5A0" w:rsidR="008D7F32" w:rsidRPr="008D5211" w:rsidRDefault="008D7F32" w:rsidP="008D7F32">
      <w:pPr>
        <w:jc w:val="both"/>
        <w:rPr>
          <w:rFonts w:asciiTheme="majorHAnsi" w:hAnsiTheme="majorHAnsi" w:cstheme="majorHAnsi"/>
          <w:bCs/>
        </w:rPr>
      </w:pPr>
      <w:r w:rsidRPr="008D5211">
        <w:rPr>
          <w:rFonts w:asciiTheme="majorHAnsi" w:hAnsiTheme="majorHAnsi" w:cstheme="majorHAnsi"/>
          <w:bCs/>
        </w:rPr>
        <w:t>Nel primo trimestre 2024 il settore del noleggio ha targato 157.049 veicoli tra Passenger Cars e Light Commercial Vehicles, di cui 113.747 per il long rent e 43.302 per lo short rent. Complessivamente il noleggio vale il 31% del mercato. Differente è l’andamento dei due canali: in flessione il lungo termine (a causa del cedimento del comparto Passenger Cars, i cui motivi li spiegheremo tra breve, mentre per gli LCV le immatricolazioni sono in crescita) e in eccezionale rimbalzo il breve termine (anche se non è tutto oro ciò che luccica).</w:t>
      </w:r>
    </w:p>
    <w:p w14:paraId="7356990F" w14:textId="77777777" w:rsidR="008D7F32" w:rsidRPr="008D5211" w:rsidRDefault="008D7F32" w:rsidP="008D7F32">
      <w:pPr>
        <w:jc w:val="both"/>
        <w:rPr>
          <w:rFonts w:asciiTheme="majorHAnsi" w:hAnsiTheme="majorHAnsi" w:cstheme="majorHAnsi"/>
          <w:bCs/>
        </w:rPr>
      </w:pPr>
    </w:p>
    <w:p w14:paraId="5C3ABABA" w14:textId="77777777" w:rsidR="008D7F32" w:rsidRPr="008D5211" w:rsidRDefault="008D7F32" w:rsidP="008D7F32">
      <w:pPr>
        <w:jc w:val="both"/>
        <w:rPr>
          <w:rFonts w:asciiTheme="majorHAnsi" w:hAnsiTheme="majorHAnsi" w:cstheme="majorHAnsi"/>
          <w:bCs/>
        </w:rPr>
      </w:pPr>
      <w:r w:rsidRPr="008D5211">
        <w:rPr>
          <w:rFonts w:asciiTheme="majorHAnsi" w:hAnsiTheme="majorHAnsi" w:cstheme="majorHAnsi"/>
          <w:bCs/>
        </w:rPr>
        <w:t>Il NLT ha immatricolato da gennaio a marzo, al netto del rent to rent, 94.130 Passenger Cars, quasi 10.000 in meno rispetto allo stesso periodo dell’anno scorso (-9,3%). Se nel 2023 il long rent aveva performato eccezionalmente bene, soprattutto nella prima parte dell’anno, era perché aveva accelerato le consegne dei contratti stipulati da molto tempo, che in precedenza non era riuscito a evadere a causa delle difficoltà delle fabbriche nell’approvvigionamento dei microchip. Terminata l’emergenza industriale e tornata (quasi) a regime la capacità produttiva degli Oem, il noleggio a lungo termine aveva raggiunto risultati eccellenti nel primo semestre (sfiorando il +50%), per poi rallentare nella seconda parte del 2023. Quest’anno al ritorno alla normalità si è aggiunto l’effetto attesa per gli incentivi ricalibrati (al rialzo) dal Governo. Annunciati fin troppo tempestivamente a febbraio, non sono ancora entrati in vigore (dovrebbe essere questione di giorni, al momento in cui questo comunicato viene pubblicato). Il risultato concreto dell’annuncio anticipato è stato un brusco stop delle immatricolazioni destinate ai clienti (anche di noleggio) che possono usufruire dei bonus statali, che ha portato a marzo, per la prima volta dopo 19 mesi di crescita, al rosso.</w:t>
      </w:r>
    </w:p>
    <w:p w14:paraId="541A4929" w14:textId="77777777" w:rsidR="008D7F32" w:rsidRPr="008D5211" w:rsidRDefault="008D7F32" w:rsidP="008D7F32">
      <w:pPr>
        <w:jc w:val="both"/>
        <w:rPr>
          <w:rFonts w:asciiTheme="majorHAnsi" w:hAnsiTheme="majorHAnsi" w:cstheme="majorHAnsi"/>
          <w:bCs/>
        </w:rPr>
      </w:pPr>
    </w:p>
    <w:p w14:paraId="0F7590B3" w14:textId="5710A205" w:rsidR="008D7F32" w:rsidRPr="008D5211" w:rsidRDefault="008D7F32" w:rsidP="008D7F32">
      <w:pPr>
        <w:jc w:val="both"/>
        <w:rPr>
          <w:rFonts w:asciiTheme="majorHAnsi" w:hAnsiTheme="majorHAnsi" w:cstheme="majorHAnsi"/>
          <w:bCs/>
        </w:rPr>
      </w:pPr>
      <w:r w:rsidRPr="008D5211">
        <w:rPr>
          <w:rFonts w:asciiTheme="majorHAnsi" w:hAnsiTheme="majorHAnsi" w:cstheme="majorHAnsi"/>
          <w:bCs/>
        </w:rPr>
        <w:t xml:space="preserve">Tutt’altra storia per il NLT dei veicoli commerciali leggeri: qui la situazione è largamente in attivo. Sempre escludendo il rent to rent (che in queste statistiche di Dataforce viene assegnato agli effettivi utilizzatori, cioè le società di rent-a-car) il noleggio a lungo termine ha immatricolato nel primo trimestre di quest’anno 19.829 unità, con un incremento di oltre 5.000 targhe (+36,36%). </w:t>
      </w:r>
    </w:p>
    <w:p w14:paraId="2C3CDE99" w14:textId="77777777" w:rsidR="008D7F32" w:rsidRPr="008D5211" w:rsidRDefault="008D7F32" w:rsidP="008D7F32">
      <w:pPr>
        <w:jc w:val="both"/>
        <w:rPr>
          <w:rFonts w:asciiTheme="majorHAnsi" w:hAnsiTheme="majorHAnsi" w:cstheme="majorHAnsi"/>
          <w:bCs/>
        </w:rPr>
      </w:pPr>
    </w:p>
    <w:p w14:paraId="36345692" w14:textId="0F5DDA58" w:rsidR="008D7F32" w:rsidRPr="008D5211" w:rsidRDefault="008D7F32" w:rsidP="008D7F32">
      <w:pPr>
        <w:jc w:val="both"/>
        <w:rPr>
          <w:rFonts w:asciiTheme="majorHAnsi" w:hAnsiTheme="majorHAnsi" w:cstheme="majorHAnsi"/>
          <w:bCs/>
        </w:rPr>
      </w:pPr>
      <w:r w:rsidRPr="008D5211">
        <w:rPr>
          <w:rFonts w:asciiTheme="majorHAnsi" w:hAnsiTheme="majorHAnsi" w:cstheme="majorHAnsi"/>
          <w:bCs/>
        </w:rPr>
        <w:t>Se il long rent marcia a due velocità, per lo short rent quest’inizio d’anno è spumeggiante</w:t>
      </w:r>
      <w:r w:rsidR="002D7F77" w:rsidRPr="008D5211">
        <w:rPr>
          <w:rFonts w:asciiTheme="majorHAnsi" w:hAnsiTheme="majorHAnsi" w:cstheme="majorHAnsi"/>
          <w:bCs/>
        </w:rPr>
        <w:t>:</w:t>
      </w:r>
      <w:r w:rsidRPr="008D5211">
        <w:rPr>
          <w:rFonts w:asciiTheme="majorHAnsi" w:hAnsiTheme="majorHAnsi" w:cstheme="majorHAnsi"/>
          <w:bCs/>
        </w:rPr>
        <w:t xml:space="preserve"> 40.397 </w:t>
      </w:r>
      <w:r w:rsidR="00E7172D" w:rsidRPr="008D5211">
        <w:rPr>
          <w:rFonts w:asciiTheme="majorHAnsi" w:hAnsiTheme="majorHAnsi" w:cstheme="majorHAnsi"/>
          <w:bCs/>
        </w:rPr>
        <w:t xml:space="preserve">immatricolazioni </w:t>
      </w:r>
      <w:r w:rsidRPr="008D5211">
        <w:rPr>
          <w:rFonts w:asciiTheme="majorHAnsi" w:hAnsiTheme="majorHAnsi" w:cstheme="majorHAnsi"/>
          <w:bCs/>
        </w:rPr>
        <w:t>(rent to rent compreso)</w:t>
      </w:r>
      <w:r w:rsidR="00AE2539" w:rsidRPr="008D5211">
        <w:rPr>
          <w:rFonts w:asciiTheme="majorHAnsi" w:hAnsiTheme="majorHAnsi" w:cstheme="majorHAnsi"/>
          <w:bCs/>
        </w:rPr>
        <w:t xml:space="preserve">, </w:t>
      </w:r>
      <w:r w:rsidRPr="008D5211">
        <w:rPr>
          <w:rFonts w:asciiTheme="majorHAnsi" w:hAnsiTheme="majorHAnsi" w:cstheme="majorHAnsi"/>
          <w:bCs/>
        </w:rPr>
        <w:t>in crescita rispetto al periodo gennaio-marzo 2023 di un vistoso +42,63%</w:t>
      </w:r>
      <w:r w:rsidR="00AE2539" w:rsidRPr="008D5211">
        <w:rPr>
          <w:rFonts w:asciiTheme="majorHAnsi" w:hAnsiTheme="majorHAnsi" w:cstheme="majorHAnsi"/>
          <w:bCs/>
        </w:rPr>
        <w:t>.</w:t>
      </w:r>
    </w:p>
    <w:p w14:paraId="10E9E15B" w14:textId="77777777" w:rsidR="008D7F32" w:rsidRPr="008D5211" w:rsidRDefault="008D7F32" w:rsidP="008D7F32">
      <w:pPr>
        <w:jc w:val="both"/>
        <w:rPr>
          <w:rFonts w:asciiTheme="majorHAnsi" w:hAnsiTheme="majorHAnsi" w:cstheme="majorHAnsi"/>
          <w:bCs/>
        </w:rPr>
      </w:pPr>
    </w:p>
    <w:p w14:paraId="77770A04" w14:textId="77777777" w:rsidR="008D7F32" w:rsidRPr="008D5211" w:rsidRDefault="008D7F32" w:rsidP="008D7F32">
      <w:pPr>
        <w:jc w:val="both"/>
        <w:rPr>
          <w:rFonts w:asciiTheme="majorHAnsi" w:hAnsiTheme="majorHAnsi" w:cstheme="majorHAnsi"/>
          <w:bCs/>
        </w:rPr>
      </w:pPr>
      <w:r w:rsidRPr="008D5211">
        <w:rPr>
          <w:rFonts w:asciiTheme="majorHAnsi" w:hAnsiTheme="majorHAnsi" w:cstheme="majorHAnsi"/>
          <w:bCs/>
        </w:rPr>
        <w:t xml:space="preserve">Positivo, anche se non come nel comparto Passenger Cars, l’andamento delle immatricolazioni del noleggio a breve termine LCV: 2.693 nuove targhe nel primo trimestre di quest’anno, con un incremento del 18,63% sull’anno scorso. </w:t>
      </w:r>
    </w:p>
    <w:p w14:paraId="2CC830DE" w14:textId="77777777" w:rsidR="008D7F32" w:rsidRPr="008D5211" w:rsidRDefault="008D7F32" w:rsidP="008D7F32">
      <w:pPr>
        <w:jc w:val="both"/>
        <w:rPr>
          <w:rFonts w:asciiTheme="majorHAnsi" w:hAnsiTheme="majorHAnsi" w:cstheme="majorHAnsi"/>
          <w:bCs/>
        </w:rPr>
      </w:pPr>
    </w:p>
    <w:p w14:paraId="34E01DF3" w14:textId="47445F58" w:rsidR="00913DB6" w:rsidRPr="008D5211" w:rsidRDefault="008D7F32" w:rsidP="008D7F32">
      <w:pPr>
        <w:jc w:val="both"/>
        <w:rPr>
          <w:rFonts w:asciiTheme="majorHAnsi" w:hAnsiTheme="majorHAnsi" w:cstheme="majorHAnsi"/>
          <w:bCs/>
        </w:rPr>
      </w:pPr>
      <w:r w:rsidRPr="008D5211">
        <w:rPr>
          <w:rFonts w:asciiTheme="majorHAnsi" w:hAnsiTheme="majorHAnsi" w:cstheme="majorHAnsi"/>
          <w:bCs/>
        </w:rPr>
        <w:t>Per concludere l’analisi sul comparto del noleggio del noleggio a breve termine di questo Q1, va aggiunta una considerazione: questo mercato in crescita, soprattutto nelle Passenger Cars, non è altro che il frutto d</w:t>
      </w:r>
      <w:r w:rsidR="00AE2539" w:rsidRPr="008D5211">
        <w:rPr>
          <w:rFonts w:asciiTheme="majorHAnsi" w:hAnsiTheme="majorHAnsi" w:cstheme="majorHAnsi"/>
          <w:bCs/>
        </w:rPr>
        <w:t>i una forte accelerazione</w:t>
      </w:r>
      <w:r w:rsidRPr="008D5211">
        <w:rPr>
          <w:rFonts w:asciiTheme="majorHAnsi" w:hAnsiTheme="majorHAnsi" w:cstheme="majorHAnsi"/>
          <w:bCs/>
        </w:rPr>
        <w:t xml:space="preserve"> da parte di alcuni “big operator”: per esempio Europcar (+291%), Sixt (+424%), Locauto (+169%) e Sicily by Car (+143%), come vedremo meglio nel dettaglio nell’analisi delle classifiche degli operatori. Quello che è stato immatricolato in anticipo mancherà ovviamente all’appello nei prossimi mesi. Infatti il forecast di Dataforce per la fine dell’anno è nettamente più conservativo rispetto ai risultati del primo trimestre: anticipiamo che ipotizza una crescita dello short rent del 20,8% nelle Passenger Cars e un modesto incremento del 4,2% per i veicoli commerciali leggeri.</w:t>
      </w:r>
    </w:p>
    <w:p w14:paraId="5FD5C460" w14:textId="457278D6" w:rsidR="008D7F32" w:rsidRDefault="008D7F32" w:rsidP="008D7F32">
      <w:pPr>
        <w:rPr>
          <w:rFonts w:asciiTheme="majorHAnsi" w:hAnsiTheme="majorHAnsi" w:cstheme="majorHAnsi"/>
          <w:b/>
        </w:rPr>
      </w:pPr>
    </w:p>
    <w:p w14:paraId="539278DE" w14:textId="77777777" w:rsidR="008D7F32" w:rsidRPr="00B65608" w:rsidRDefault="008D7F32" w:rsidP="008D7F32">
      <w:pPr>
        <w:rPr>
          <w:rFonts w:asciiTheme="majorHAnsi" w:hAnsiTheme="majorHAnsi" w:cstheme="majorHAnsi"/>
          <w:b/>
        </w:rPr>
      </w:pPr>
    </w:p>
    <w:p w14:paraId="068F159F" w14:textId="6E563B12" w:rsidR="00F25FFA" w:rsidRPr="00B65608" w:rsidRDefault="00F25FFA" w:rsidP="00F25FFA">
      <w:pPr>
        <w:jc w:val="both"/>
        <w:rPr>
          <w:rFonts w:asciiTheme="majorHAnsi" w:hAnsiTheme="majorHAnsi" w:cstheme="majorHAnsi"/>
          <w:b/>
        </w:rPr>
      </w:pPr>
      <w:r w:rsidRPr="00B65608">
        <w:rPr>
          <w:rFonts w:asciiTheme="majorHAnsi" w:hAnsiTheme="majorHAnsi" w:cstheme="majorHAnsi"/>
          <w:b/>
        </w:rPr>
        <w:t xml:space="preserve">L’ANALISI DEL MERCATO </w:t>
      </w:r>
      <w:r w:rsidR="00A466CE" w:rsidRPr="00B65608">
        <w:rPr>
          <w:rFonts w:asciiTheme="majorHAnsi" w:hAnsiTheme="majorHAnsi" w:cstheme="majorHAnsi"/>
          <w:b/>
        </w:rPr>
        <w:t>LUNGO TERMINE</w:t>
      </w:r>
      <w:r w:rsidR="00417FA3" w:rsidRPr="00B65608">
        <w:rPr>
          <w:rFonts w:asciiTheme="majorHAnsi" w:hAnsiTheme="majorHAnsi" w:cstheme="majorHAnsi"/>
          <w:b/>
        </w:rPr>
        <w:t xml:space="preserve"> </w:t>
      </w:r>
      <w:r w:rsidRPr="00B65608">
        <w:rPr>
          <w:rFonts w:asciiTheme="majorHAnsi" w:hAnsiTheme="majorHAnsi" w:cstheme="majorHAnsi"/>
          <w:b/>
        </w:rPr>
        <w:t>PER OPERATORE</w:t>
      </w:r>
    </w:p>
    <w:p w14:paraId="1AD8B780" w14:textId="77777777" w:rsidR="008D7F32" w:rsidRDefault="008D7F32" w:rsidP="008D7F32">
      <w:pPr>
        <w:jc w:val="both"/>
        <w:rPr>
          <w:rFonts w:asciiTheme="majorHAnsi" w:hAnsiTheme="majorHAnsi" w:cstheme="majorHAnsi"/>
          <w:b/>
        </w:rPr>
      </w:pPr>
    </w:p>
    <w:p w14:paraId="31C29FC9" w14:textId="3533AF4C" w:rsidR="008D7F32" w:rsidRDefault="008D7F32" w:rsidP="008D7F32">
      <w:pPr>
        <w:jc w:val="both"/>
        <w:rPr>
          <w:rFonts w:asciiTheme="majorHAnsi" w:hAnsiTheme="majorHAnsi" w:cstheme="majorHAnsi"/>
          <w:bCs/>
        </w:rPr>
      </w:pPr>
      <w:r w:rsidRPr="00396F9E">
        <w:rPr>
          <w:rFonts w:asciiTheme="majorHAnsi" w:hAnsiTheme="majorHAnsi" w:cstheme="majorHAnsi"/>
          <w:b/>
        </w:rPr>
        <w:t>C’è un nuovo protagonista nel mercato del noleggio a lungo termine nel 2024: si chiama Ayvens ed è il colosso nato dalla fusione tra ALD Automotive e LeasePlan.</w:t>
      </w:r>
      <w:r>
        <w:rPr>
          <w:rFonts w:asciiTheme="majorHAnsi" w:hAnsiTheme="majorHAnsi" w:cstheme="majorHAnsi"/>
          <w:bCs/>
        </w:rPr>
        <w:t xml:space="preserve"> A partire da questo Q1 del 2024 nelle statistiche di Dataforce i due player non compaiono più separatamente, ma uniti sotto il nuovo “cappello”. E, grazie ai numeri dei due giganti del NLT, </w:t>
      </w:r>
      <w:r w:rsidRPr="00396F9E">
        <w:rPr>
          <w:rFonts w:asciiTheme="majorHAnsi" w:hAnsiTheme="majorHAnsi" w:cstheme="majorHAnsi"/>
          <w:b/>
        </w:rPr>
        <w:t>Ayvens ha conquistato il primato nella classifica degli operatori, sia tra le Passenger Cars sia tra i Light Commercial Vehicles.</w:t>
      </w:r>
    </w:p>
    <w:p w14:paraId="1278BFD5" w14:textId="27A331CF" w:rsidR="008D7F32" w:rsidRDefault="008D7F32" w:rsidP="008D7F32">
      <w:pPr>
        <w:jc w:val="both"/>
        <w:rPr>
          <w:rFonts w:asciiTheme="majorHAnsi" w:hAnsiTheme="majorHAnsi" w:cstheme="majorHAnsi"/>
          <w:bCs/>
        </w:rPr>
      </w:pPr>
      <w:r>
        <w:rPr>
          <w:rFonts w:asciiTheme="majorHAnsi" w:hAnsiTheme="majorHAnsi" w:cstheme="majorHAnsi"/>
          <w:bCs/>
        </w:rPr>
        <w:t xml:space="preserve">Nel caso delle auto, però, la distanza dal secondo in classifica, </w:t>
      </w:r>
      <w:r w:rsidRPr="00396F9E">
        <w:rPr>
          <w:rFonts w:asciiTheme="majorHAnsi" w:hAnsiTheme="majorHAnsi" w:cstheme="majorHAnsi"/>
          <w:b/>
        </w:rPr>
        <w:t>Arval</w:t>
      </w:r>
      <w:r>
        <w:rPr>
          <w:rFonts w:asciiTheme="majorHAnsi" w:hAnsiTheme="majorHAnsi" w:cstheme="majorHAnsi"/>
          <w:bCs/>
        </w:rPr>
        <w:t xml:space="preserve">, non è poi così siderale: </w:t>
      </w:r>
      <w:r w:rsidRPr="00396F9E">
        <w:rPr>
          <w:rFonts w:asciiTheme="majorHAnsi" w:hAnsiTheme="majorHAnsi" w:cstheme="majorHAnsi"/>
          <w:b/>
        </w:rPr>
        <w:t>Ayvens</w:t>
      </w:r>
      <w:r>
        <w:rPr>
          <w:rFonts w:asciiTheme="majorHAnsi" w:hAnsiTheme="majorHAnsi" w:cstheme="majorHAnsi"/>
          <w:bCs/>
        </w:rPr>
        <w:t xml:space="preserve">, che ha targato quasi 20.000 automobili, ha conquistato una quota di mercato del 21,2%, </w:t>
      </w:r>
      <w:r w:rsidRPr="00396F9E">
        <w:rPr>
          <w:rFonts w:asciiTheme="majorHAnsi" w:hAnsiTheme="majorHAnsi" w:cstheme="majorHAnsi"/>
          <w:b/>
        </w:rPr>
        <w:t>Arval</w:t>
      </w:r>
      <w:r>
        <w:rPr>
          <w:rFonts w:asciiTheme="majorHAnsi" w:hAnsiTheme="majorHAnsi" w:cstheme="majorHAnsi"/>
          <w:bCs/>
        </w:rPr>
        <w:t xml:space="preserve">, che ne ha targate circa 19.000, è a un’incollatura al 20,07% di share. Con un’ulteriore considerazione da esprimere: rispetto all’anno scorso, </w:t>
      </w:r>
      <w:r w:rsidRPr="00396F9E">
        <w:rPr>
          <w:rFonts w:asciiTheme="majorHAnsi" w:hAnsiTheme="majorHAnsi" w:cstheme="majorHAnsi"/>
          <w:b/>
        </w:rPr>
        <w:t>la quota di ALD+Lease</w:t>
      </w:r>
      <w:r w:rsidR="007442BB">
        <w:rPr>
          <w:rFonts w:asciiTheme="majorHAnsi" w:hAnsiTheme="majorHAnsi" w:cstheme="majorHAnsi"/>
          <w:b/>
        </w:rPr>
        <w:t>P</w:t>
      </w:r>
      <w:r w:rsidRPr="00396F9E">
        <w:rPr>
          <w:rFonts w:asciiTheme="majorHAnsi" w:hAnsiTheme="majorHAnsi" w:cstheme="majorHAnsi"/>
          <w:b/>
        </w:rPr>
        <w:t>lan è scesa di oltre 1 punto, quella di Arval è cresciuta dell’1,6%.</w:t>
      </w:r>
      <w:r>
        <w:rPr>
          <w:rFonts w:asciiTheme="majorHAnsi" w:hAnsiTheme="majorHAnsi" w:cstheme="majorHAnsi"/>
          <w:bCs/>
        </w:rPr>
        <w:t xml:space="preserve"> Il che, tradotto in volumi, in un mercato in contrazione di quasi 10 punti, significa che </w:t>
      </w:r>
      <w:r w:rsidRPr="00396F9E">
        <w:rPr>
          <w:rFonts w:asciiTheme="majorHAnsi" w:hAnsiTheme="majorHAnsi" w:cstheme="majorHAnsi"/>
          <w:b/>
        </w:rPr>
        <w:t>Arval</w:t>
      </w:r>
      <w:r>
        <w:rPr>
          <w:rFonts w:asciiTheme="majorHAnsi" w:hAnsiTheme="majorHAnsi" w:cstheme="majorHAnsi"/>
          <w:bCs/>
        </w:rPr>
        <w:t xml:space="preserve"> ha immatricolato soltanto 260 vetture in meno (-1,36%), mentre </w:t>
      </w:r>
      <w:r w:rsidRPr="00396F9E">
        <w:rPr>
          <w:rFonts w:asciiTheme="majorHAnsi" w:hAnsiTheme="majorHAnsi" w:cstheme="majorHAnsi"/>
          <w:b/>
        </w:rPr>
        <w:t>Ayvens</w:t>
      </w:r>
      <w:r>
        <w:rPr>
          <w:rFonts w:asciiTheme="majorHAnsi" w:hAnsiTheme="majorHAnsi" w:cstheme="majorHAnsi"/>
          <w:bCs/>
        </w:rPr>
        <w:t xml:space="preserve"> ne ha targate 3.180 in meno (-13,75%). Al terzo posto si è piazzata </w:t>
      </w:r>
      <w:r w:rsidRPr="00396F9E">
        <w:rPr>
          <w:rFonts w:asciiTheme="majorHAnsi" w:hAnsiTheme="majorHAnsi" w:cstheme="majorHAnsi"/>
          <w:b/>
        </w:rPr>
        <w:t>Volkswagen Leasing</w:t>
      </w:r>
      <w:r>
        <w:rPr>
          <w:rFonts w:asciiTheme="majorHAnsi" w:hAnsiTheme="majorHAnsi" w:cstheme="majorHAnsi"/>
          <w:bCs/>
        </w:rPr>
        <w:t xml:space="preserve">, protagonista di una crescita di volumi molto significativa: +42,48%. Che </w:t>
      </w:r>
      <w:r w:rsidR="007442BB">
        <w:rPr>
          <w:rFonts w:asciiTheme="majorHAnsi" w:hAnsiTheme="majorHAnsi" w:cstheme="majorHAnsi"/>
          <w:bCs/>
        </w:rPr>
        <w:t>vale</w:t>
      </w:r>
      <w:r>
        <w:rPr>
          <w:rFonts w:asciiTheme="majorHAnsi" w:hAnsiTheme="majorHAnsi" w:cstheme="majorHAnsi"/>
          <w:bCs/>
        </w:rPr>
        <w:t xml:space="preserve"> oltre 4.000 targhe in più. </w:t>
      </w:r>
      <w:r w:rsidRPr="00396F9E">
        <w:rPr>
          <w:rFonts w:asciiTheme="majorHAnsi" w:hAnsiTheme="majorHAnsi" w:cstheme="majorHAnsi"/>
          <w:b/>
        </w:rPr>
        <w:t>Leasys</w:t>
      </w:r>
      <w:r>
        <w:rPr>
          <w:rFonts w:asciiTheme="majorHAnsi" w:hAnsiTheme="majorHAnsi" w:cstheme="majorHAnsi"/>
          <w:bCs/>
        </w:rPr>
        <w:t xml:space="preserve">, invece, è scivolata al quarto posto, con una flessione del 44,84% (8.800 le targhe mancanti rispetto al Q1 2023). </w:t>
      </w:r>
      <w:r w:rsidRPr="00396F9E">
        <w:rPr>
          <w:rFonts w:asciiTheme="majorHAnsi" w:hAnsiTheme="majorHAnsi" w:cstheme="majorHAnsi"/>
          <w:b/>
        </w:rPr>
        <w:t xml:space="preserve">La flessione di Leasys, però, </w:t>
      </w:r>
      <w:r w:rsidR="00AE2539">
        <w:rPr>
          <w:rFonts w:asciiTheme="majorHAnsi" w:hAnsiTheme="majorHAnsi" w:cstheme="majorHAnsi"/>
          <w:b/>
        </w:rPr>
        <w:t>potrebbe essere una scelta tattica</w:t>
      </w:r>
      <w:r>
        <w:rPr>
          <w:rFonts w:asciiTheme="majorHAnsi" w:hAnsiTheme="majorHAnsi" w:cstheme="majorHAnsi"/>
          <w:bCs/>
        </w:rPr>
        <w:t xml:space="preserve">: </w:t>
      </w:r>
      <w:r w:rsidR="00AE2539">
        <w:rPr>
          <w:rFonts w:asciiTheme="majorHAnsi" w:hAnsiTheme="majorHAnsi" w:cstheme="majorHAnsi"/>
          <w:bCs/>
        </w:rPr>
        <w:t xml:space="preserve">forse sta attendendo a targare in modo da </w:t>
      </w:r>
      <w:r>
        <w:rPr>
          <w:rFonts w:asciiTheme="majorHAnsi" w:hAnsiTheme="majorHAnsi" w:cstheme="majorHAnsi"/>
          <w:bCs/>
        </w:rPr>
        <w:t>sfruttare tutte le opportunità offerte dall’aggiustamento degli ecobonus statali</w:t>
      </w:r>
      <w:r w:rsidR="00AE2539">
        <w:rPr>
          <w:rFonts w:asciiTheme="majorHAnsi" w:hAnsiTheme="majorHAnsi" w:cstheme="majorHAnsi"/>
          <w:bCs/>
        </w:rPr>
        <w:t xml:space="preserve">. Se così fosse, </w:t>
      </w:r>
      <w:r>
        <w:rPr>
          <w:rFonts w:asciiTheme="majorHAnsi" w:hAnsiTheme="majorHAnsi" w:cstheme="majorHAnsi"/>
          <w:bCs/>
        </w:rPr>
        <w:t>recupererà posizioni in classifica non appena verrà dato il via agli incentivi più consistenti.</w:t>
      </w:r>
    </w:p>
    <w:p w14:paraId="3D6411BD" w14:textId="77777777" w:rsidR="008D7F32" w:rsidRDefault="008D7F32" w:rsidP="008D7F32">
      <w:pPr>
        <w:jc w:val="both"/>
        <w:rPr>
          <w:rFonts w:asciiTheme="majorHAnsi" w:hAnsiTheme="majorHAnsi" w:cstheme="majorHAnsi"/>
          <w:bCs/>
        </w:rPr>
      </w:pPr>
      <w:r>
        <w:rPr>
          <w:rFonts w:asciiTheme="majorHAnsi" w:hAnsiTheme="majorHAnsi" w:cstheme="majorHAnsi"/>
          <w:bCs/>
        </w:rPr>
        <w:t xml:space="preserve">Nelle posizioni a seguire, </w:t>
      </w:r>
      <w:r w:rsidRPr="00396F9E">
        <w:rPr>
          <w:rFonts w:asciiTheme="majorHAnsi" w:hAnsiTheme="majorHAnsi" w:cstheme="majorHAnsi"/>
          <w:b/>
        </w:rPr>
        <w:t>UnipolRental</w:t>
      </w:r>
      <w:r>
        <w:rPr>
          <w:rFonts w:asciiTheme="majorHAnsi" w:hAnsiTheme="majorHAnsi" w:cstheme="majorHAnsi"/>
          <w:bCs/>
        </w:rPr>
        <w:t xml:space="preserve"> (-7,11%), </w:t>
      </w:r>
      <w:r w:rsidRPr="00396F9E">
        <w:rPr>
          <w:rFonts w:asciiTheme="majorHAnsi" w:hAnsiTheme="majorHAnsi" w:cstheme="majorHAnsi"/>
          <w:b/>
        </w:rPr>
        <w:t>Drivalia</w:t>
      </w:r>
      <w:r>
        <w:rPr>
          <w:rFonts w:asciiTheme="majorHAnsi" w:hAnsiTheme="majorHAnsi" w:cstheme="majorHAnsi"/>
          <w:bCs/>
        </w:rPr>
        <w:t xml:space="preserve"> (-10,07%), </w:t>
      </w:r>
      <w:r w:rsidRPr="00396F9E">
        <w:rPr>
          <w:rFonts w:asciiTheme="majorHAnsi" w:hAnsiTheme="majorHAnsi" w:cstheme="majorHAnsi"/>
          <w:b/>
        </w:rPr>
        <w:t>Alphabet</w:t>
      </w:r>
      <w:r>
        <w:rPr>
          <w:rFonts w:asciiTheme="majorHAnsi" w:hAnsiTheme="majorHAnsi" w:cstheme="majorHAnsi"/>
          <w:bCs/>
        </w:rPr>
        <w:t xml:space="preserve"> (+98,18%), </w:t>
      </w:r>
      <w:r w:rsidRPr="00396F9E">
        <w:rPr>
          <w:rFonts w:asciiTheme="majorHAnsi" w:hAnsiTheme="majorHAnsi" w:cstheme="majorHAnsi"/>
          <w:b/>
        </w:rPr>
        <w:t>Kinto Italia</w:t>
      </w:r>
      <w:r>
        <w:rPr>
          <w:rFonts w:asciiTheme="majorHAnsi" w:hAnsiTheme="majorHAnsi" w:cstheme="majorHAnsi"/>
          <w:bCs/>
        </w:rPr>
        <w:t xml:space="preserve"> (+21,57%), il raggruppamento dei </w:t>
      </w:r>
      <w:r w:rsidRPr="00396F9E">
        <w:rPr>
          <w:rFonts w:asciiTheme="majorHAnsi" w:hAnsiTheme="majorHAnsi" w:cstheme="majorHAnsi"/>
          <w:b/>
        </w:rPr>
        <w:t>noleggiatori di piccole dimensioni</w:t>
      </w:r>
      <w:r>
        <w:rPr>
          <w:rFonts w:asciiTheme="majorHAnsi" w:hAnsiTheme="majorHAnsi" w:cstheme="majorHAnsi"/>
          <w:bCs/>
        </w:rPr>
        <w:t xml:space="preserve"> (nella tabella compaiono con la denominazione </w:t>
      </w:r>
      <w:r w:rsidRPr="00396F9E">
        <w:rPr>
          <w:rFonts w:asciiTheme="majorHAnsi" w:hAnsiTheme="majorHAnsi" w:cstheme="majorHAnsi"/>
          <w:b/>
        </w:rPr>
        <w:t>“NLT Altro”</w:t>
      </w:r>
      <w:r>
        <w:rPr>
          <w:rFonts w:asciiTheme="majorHAnsi" w:hAnsiTheme="majorHAnsi" w:cstheme="majorHAnsi"/>
          <w:bCs/>
        </w:rPr>
        <w:t xml:space="preserve">, +165,69%), </w:t>
      </w:r>
      <w:r w:rsidRPr="00396F9E">
        <w:rPr>
          <w:rFonts w:asciiTheme="majorHAnsi" w:hAnsiTheme="majorHAnsi" w:cstheme="majorHAnsi"/>
          <w:b/>
        </w:rPr>
        <w:t>Gruppo Santander</w:t>
      </w:r>
      <w:r>
        <w:rPr>
          <w:rFonts w:asciiTheme="majorHAnsi" w:hAnsiTheme="majorHAnsi" w:cstheme="majorHAnsi"/>
          <w:bCs/>
        </w:rPr>
        <w:t xml:space="preserve"> (SCR – Drive) in crescita esponenziale (+544,8%), </w:t>
      </w:r>
      <w:r w:rsidRPr="00396F9E">
        <w:rPr>
          <w:rFonts w:asciiTheme="majorHAnsi" w:hAnsiTheme="majorHAnsi" w:cstheme="majorHAnsi"/>
          <w:b/>
        </w:rPr>
        <w:t>Athlon</w:t>
      </w:r>
      <w:r>
        <w:rPr>
          <w:rFonts w:asciiTheme="majorHAnsi" w:hAnsiTheme="majorHAnsi" w:cstheme="majorHAnsi"/>
          <w:bCs/>
        </w:rPr>
        <w:t xml:space="preserve"> (+15,03%), </w:t>
      </w:r>
      <w:r w:rsidRPr="00396F9E">
        <w:rPr>
          <w:rFonts w:asciiTheme="majorHAnsi" w:hAnsiTheme="majorHAnsi" w:cstheme="majorHAnsi"/>
          <w:b/>
        </w:rPr>
        <w:t>Rent2Go</w:t>
      </w:r>
      <w:r>
        <w:rPr>
          <w:rFonts w:asciiTheme="majorHAnsi" w:hAnsiTheme="majorHAnsi" w:cstheme="majorHAnsi"/>
          <w:bCs/>
        </w:rPr>
        <w:t xml:space="preserve"> (+126,21%). Nelle posizioni di rincalzo tutti gli altri operatori che nel primo trimestre hanno immatricolato meno di 1.000 unità.</w:t>
      </w:r>
    </w:p>
    <w:p w14:paraId="430964D0" w14:textId="77777777" w:rsidR="008D7F32" w:rsidRDefault="008D7F32" w:rsidP="008D7F32">
      <w:pPr>
        <w:jc w:val="both"/>
        <w:rPr>
          <w:rFonts w:asciiTheme="majorHAnsi" w:hAnsiTheme="majorHAnsi" w:cstheme="majorHAnsi"/>
          <w:bCs/>
        </w:rPr>
      </w:pPr>
    </w:p>
    <w:p w14:paraId="5A6D61A4" w14:textId="77777777" w:rsidR="008D7F32" w:rsidRPr="00EB42CE" w:rsidRDefault="008D7F32" w:rsidP="008D7F32">
      <w:pPr>
        <w:jc w:val="both"/>
        <w:rPr>
          <w:rFonts w:asciiTheme="majorHAnsi" w:hAnsiTheme="majorHAnsi" w:cstheme="majorHAnsi"/>
          <w:bCs/>
        </w:rPr>
      </w:pPr>
      <w:r>
        <w:rPr>
          <w:rFonts w:asciiTheme="majorHAnsi" w:hAnsiTheme="majorHAnsi" w:cstheme="majorHAnsi"/>
          <w:bCs/>
        </w:rPr>
        <w:t xml:space="preserve">Come accennato in precedenza, </w:t>
      </w:r>
      <w:r w:rsidRPr="00396F9E">
        <w:rPr>
          <w:rFonts w:asciiTheme="majorHAnsi" w:hAnsiTheme="majorHAnsi" w:cstheme="majorHAnsi"/>
          <w:b/>
        </w:rPr>
        <w:t>anche nel comparto dei veicoli commerciali leggeri Ayvens ha conquistato il primato</w:t>
      </w:r>
      <w:r>
        <w:rPr>
          <w:rFonts w:asciiTheme="majorHAnsi" w:hAnsiTheme="majorHAnsi" w:cstheme="majorHAnsi"/>
          <w:bCs/>
        </w:rPr>
        <w:t xml:space="preserve">. In questo caso la distanza con </w:t>
      </w:r>
      <w:r w:rsidRPr="00396F9E">
        <w:rPr>
          <w:rFonts w:asciiTheme="majorHAnsi" w:hAnsiTheme="majorHAnsi" w:cstheme="majorHAnsi"/>
          <w:b/>
        </w:rPr>
        <w:t>Arval</w:t>
      </w:r>
      <w:r>
        <w:rPr>
          <w:rFonts w:asciiTheme="majorHAnsi" w:hAnsiTheme="majorHAnsi" w:cstheme="majorHAnsi"/>
          <w:bCs/>
        </w:rPr>
        <w:t xml:space="preserve"> è un po’ più marcata: la quota di mercato del nuovo colosso sfiora il 24%, </w:t>
      </w:r>
      <w:r w:rsidRPr="00396F9E">
        <w:rPr>
          <w:rFonts w:asciiTheme="majorHAnsi" w:hAnsiTheme="majorHAnsi" w:cstheme="majorHAnsi"/>
          <w:b/>
        </w:rPr>
        <w:t>Arval</w:t>
      </w:r>
      <w:r>
        <w:rPr>
          <w:rFonts w:asciiTheme="majorHAnsi" w:hAnsiTheme="majorHAnsi" w:cstheme="majorHAnsi"/>
          <w:bCs/>
        </w:rPr>
        <w:t xml:space="preserve"> si avvicina invece al 21%. A livello di volumi, per entrambi i player una crescita molto significativa: +68,95% per </w:t>
      </w:r>
      <w:r w:rsidRPr="00396F9E">
        <w:rPr>
          <w:rFonts w:asciiTheme="majorHAnsi" w:hAnsiTheme="majorHAnsi" w:cstheme="majorHAnsi"/>
          <w:b/>
        </w:rPr>
        <w:t>Ayvens</w:t>
      </w:r>
      <w:r>
        <w:rPr>
          <w:rFonts w:asciiTheme="majorHAnsi" w:hAnsiTheme="majorHAnsi" w:cstheme="majorHAnsi"/>
          <w:bCs/>
        </w:rPr>
        <w:t xml:space="preserve">, +49,85% per </w:t>
      </w:r>
      <w:r w:rsidRPr="00396F9E">
        <w:rPr>
          <w:rFonts w:asciiTheme="majorHAnsi" w:hAnsiTheme="majorHAnsi" w:cstheme="majorHAnsi"/>
          <w:b/>
        </w:rPr>
        <w:t>Arval</w:t>
      </w:r>
      <w:r>
        <w:rPr>
          <w:rFonts w:asciiTheme="majorHAnsi" w:hAnsiTheme="majorHAnsi" w:cstheme="majorHAnsi"/>
          <w:bCs/>
        </w:rPr>
        <w:t xml:space="preserve">. Sul gradino più basso del podio </w:t>
      </w:r>
      <w:r w:rsidRPr="00396F9E">
        <w:rPr>
          <w:rFonts w:asciiTheme="majorHAnsi" w:hAnsiTheme="majorHAnsi" w:cstheme="majorHAnsi"/>
          <w:b/>
        </w:rPr>
        <w:t>UnipolRental</w:t>
      </w:r>
      <w:r>
        <w:rPr>
          <w:rFonts w:asciiTheme="majorHAnsi" w:hAnsiTheme="majorHAnsi" w:cstheme="majorHAnsi"/>
          <w:bCs/>
        </w:rPr>
        <w:t xml:space="preserve"> (+17%) e, a seguire, </w:t>
      </w:r>
      <w:r w:rsidRPr="00396F9E">
        <w:rPr>
          <w:rFonts w:asciiTheme="majorHAnsi" w:hAnsiTheme="majorHAnsi" w:cstheme="majorHAnsi"/>
          <w:b/>
        </w:rPr>
        <w:t>Leasys</w:t>
      </w:r>
      <w:r>
        <w:rPr>
          <w:rFonts w:asciiTheme="majorHAnsi" w:hAnsiTheme="majorHAnsi" w:cstheme="majorHAnsi"/>
          <w:bCs/>
        </w:rPr>
        <w:t xml:space="preserve">, che è tra i pochi operatori in rosso nel Q1: -6,77%, in un mercato che, giova ricordarlo, è cresciuto quest’anno del 37%. </w:t>
      </w:r>
      <w:r w:rsidRPr="00396F9E">
        <w:rPr>
          <w:rFonts w:asciiTheme="majorHAnsi" w:hAnsiTheme="majorHAnsi" w:cstheme="majorHAnsi"/>
          <w:b/>
        </w:rPr>
        <w:t>Leasys</w:t>
      </w:r>
      <w:r>
        <w:rPr>
          <w:rFonts w:asciiTheme="majorHAnsi" w:hAnsiTheme="majorHAnsi" w:cstheme="majorHAnsi"/>
          <w:bCs/>
        </w:rPr>
        <w:t xml:space="preserve"> è l’ultimo dei player con volumi superiori alle 1.000 unità: nelle posizioni di rincalzo </w:t>
      </w:r>
      <w:r w:rsidRPr="006B044E">
        <w:rPr>
          <w:rFonts w:asciiTheme="majorHAnsi" w:hAnsiTheme="majorHAnsi" w:cstheme="majorHAnsi"/>
          <w:b/>
        </w:rPr>
        <w:t>Athlon</w:t>
      </w:r>
      <w:r>
        <w:rPr>
          <w:rFonts w:asciiTheme="majorHAnsi" w:hAnsiTheme="majorHAnsi" w:cstheme="majorHAnsi"/>
          <w:bCs/>
        </w:rPr>
        <w:t xml:space="preserve">, </w:t>
      </w:r>
      <w:r w:rsidRPr="006B044E">
        <w:rPr>
          <w:rFonts w:asciiTheme="majorHAnsi" w:hAnsiTheme="majorHAnsi" w:cstheme="majorHAnsi"/>
          <w:b/>
        </w:rPr>
        <w:t>Drivalia</w:t>
      </w:r>
      <w:r>
        <w:rPr>
          <w:rFonts w:asciiTheme="majorHAnsi" w:hAnsiTheme="majorHAnsi" w:cstheme="majorHAnsi"/>
          <w:bCs/>
        </w:rPr>
        <w:t xml:space="preserve">, </w:t>
      </w:r>
      <w:r w:rsidRPr="006B044E">
        <w:rPr>
          <w:rFonts w:asciiTheme="majorHAnsi" w:hAnsiTheme="majorHAnsi" w:cstheme="majorHAnsi"/>
          <w:b/>
        </w:rPr>
        <w:t>Volkswagen Leasing</w:t>
      </w:r>
      <w:r>
        <w:rPr>
          <w:rFonts w:asciiTheme="majorHAnsi" w:hAnsiTheme="majorHAnsi" w:cstheme="majorHAnsi"/>
          <w:bCs/>
        </w:rPr>
        <w:t xml:space="preserve"> (tutti in crescita), </w:t>
      </w:r>
      <w:r w:rsidRPr="006B044E">
        <w:rPr>
          <w:rFonts w:asciiTheme="majorHAnsi" w:hAnsiTheme="majorHAnsi" w:cstheme="majorHAnsi"/>
          <w:b/>
        </w:rPr>
        <w:t>ES Mobility</w:t>
      </w:r>
      <w:r>
        <w:rPr>
          <w:rFonts w:asciiTheme="majorHAnsi" w:hAnsiTheme="majorHAnsi" w:cstheme="majorHAnsi"/>
          <w:bCs/>
        </w:rPr>
        <w:t xml:space="preserve"> (-12,04%) e gli altri operatori che hanno immatricolato meno. </w:t>
      </w:r>
    </w:p>
    <w:p w14:paraId="3147C7DD" w14:textId="77777777" w:rsidR="008D7F32" w:rsidRPr="00B65608" w:rsidRDefault="008D7F32" w:rsidP="008D7F32">
      <w:pPr>
        <w:rPr>
          <w:rFonts w:asciiTheme="majorHAnsi" w:hAnsiTheme="majorHAnsi" w:cstheme="majorHAnsi"/>
          <w:bCs/>
        </w:rPr>
      </w:pPr>
    </w:p>
    <w:p w14:paraId="6E71D3ED" w14:textId="17554DA0" w:rsidR="004857A5" w:rsidRDefault="004857A5" w:rsidP="00935BD0">
      <w:pPr>
        <w:rPr>
          <w:rFonts w:asciiTheme="majorHAnsi" w:hAnsiTheme="majorHAnsi" w:cstheme="majorHAnsi"/>
        </w:rPr>
      </w:pPr>
      <w:r>
        <w:br w:type="page"/>
      </w:r>
      <w:r w:rsidR="005F203C" w:rsidRPr="005F203C">
        <w:rPr>
          <w:noProof/>
        </w:rPr>
        <w:drawing>
          <wp:inline distT="0" distB="0" distL="0" distR="0" wp14:anchorId="5B455F21" wp14:editId="0A76DE49">
            <wp:extent cx="6403340" cy="8982710"/>
            <wp:effectExtent l="0" t="0" r="0" b="0"/>
            <wp:docPr id="33" name="Immagine 3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 33">
                      <a:hlinkClick r:id="rId1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3340" cy="8982710"/>
                    </a:xfrm>
                    <a:prstGeom prst="rect">
                      <a:avLst/>
                    </a:prstGeom>
                    <a:noFill/>
                    <a:ln>
                      <a:noFill/>
                    </a:ln>
                  </pic:spPr>
                </pic:pic>
              </a:graphicData>
            </a:graphic>
          </wp:inline>
        </w:drawing>
      </w:r>
      <w:r>
        <w:rPr>
          <w:rFonts w:asciiTheme="majorHAnsi" w:hAnsiTheme="majorHAnsi" w:cstheme="majorHAnsi"/>
        </w:rPr>
        <w:br w:type="page"/>
      </w:r>
    </w:p>
    <w:p w14:paraId="60191E98" w14:textId="77777777" w:rsidR="005F203C" w:rsidRPr="00B65608" w:rsidRDefault="005F203C" w:rsidP="005F203C">
      <w:pPr>
        <w:jc w:val="both"/>
        <w:rPr>
          <w:rFonts w:asciiTheme="majorHAnsi" w:hAnsiTheme="majorHAnsi" w:cstheme="majorHAnsi"/>
          <w:color w:val="FF0000"/>
        </w:rPr>
      </w:pPr>
      <w:r w:rsidRPr="00B65608">
        <w:rPr>
          <w:rFonts w:asciiTheme="majorHAnsi" w:hAnsiTheme="majorHAnsi" w:cstheme="majorHAnsi"/>
          <w:b/>
        </w:rPr>
        <w:t>L’ANALISI DEL MERCATO NOLEGGIO BREVE TERMINE PER OPERATORE</w:t>
      </w:r>
    </w:p>
    <w:p w14:paraId="58F5A8F8" w14:textId="77777777" w:rsidR="00AE2539" w:rsidRDefault="00AE2539" w:rsidP="008D7F32">
      <w:pPr>
        <w:jc w:val="both"/>
        <w:rPr>
          <w:rFonts w:asciiTheme="majorHAnsi" w:hAnsiTheme="majorHAnsi" w:cstheme="majorHAnsi"/>
          <w:b/>
        </w:rPr>
      </w:pPr>
    </w:p>
    <w:p w14:paraId="15F83CAB" w14:textId="5ECFABD8" w:rsidR="008D7F32" w:rsidRDefault="008D7F32" w:rsidP="008D7F32">
      <w:pPr>
        <w:jc w:val="both"/>
        <w:rPr>
          <w:rFonts w:asciiTheme="majorHAnsi" w:hAnsiTheme="majorHAnsi" w:cstheme="majorHAnsi"/>
          <w:bCs/>
        </w:rPr>
      </w:pPr>
      <w:r w:rsidRPr="006B044E">
        <w:rPr>
          <w:rFonts w:asciiTheme="majorHAnsi" w:hAnsiTheme="majorHAnsi" w:cstheme="majorHAnsi"/>
          <w:b/>
        </w:rPr>
        <w:t>Rivoluzionata completamente la classifica degli operatori del noleggio a breve termine</w:t>
      </w:r>
      <w:r w:rsidRPr="00553FEF">
        <w:rPr>
          <w:rFonts w:asciiTheme="majorHAnsi" w:hAnsiTheme="majorHAnsi" w:cstheme="majorHAnsi"/>
          <w:bCs/>
        </w:rPr>
        <w:t xml:space="preserve"> (Pa</w:t>
      </w:r>
      <w:r>
        <w:rPr>
          <w:rFonts w:asciiTheme="majorHAnsi" w:hAnsiTheme="majorHAnsi" w:cstheme="majorHAnsi"/>
          <w:bCs/>
        </w:rPr>
        <w:t xml:space="preserve">ssenger Cars) rispetto a quella del primo trimestre 2023: il leader di mercato dell’anno scorso nel Q1 era </w:t>
      </w:r>
      <w:r w:rsidRPr="006B044E">
        <w:rPr>
          <w:rFonts w:asciiTheme="majorHAnsi" w:hAnsiTheme="majorHAnsi" w:cstheme="majorHAnsi"/>
          <w:b/>
        </w:rPr>
        <w:t>Avis Budget Italia</w:t>
      </w:r>
      <w:r>
        <w:rPr>
          <w:rFonts w:asciiTheme="majorHAnsi" w:hAnsiTheme="majorHAnsi" w:cstheme="majorHAnsi"/>
          <w:bCs/>
        </w:rPr>
        <w:t>, che quest’anno ha tirato un po’ il freno a mano e si è piazzato terzo, con volumi similari a quelli del Q1 2023 (-3,23%, in un mercato che, va ricordato</w:t>
      </w:r>
      <w:r w:rsidR="007442BB">
        <w:rPr>
          <w:rFonts w:asciiTheme="majorHAnsi" w:hAnsiTheme="majorHAnsi" w:cstheme="majorHAnsi"/>
          <w:bCs/>
        </w:rPr>
        <w:t xml:space="preserve"> ancora una volta</w:t>
      </w:r>
      <w:r>
        <w:rPr>
          <w:rFonts w:asciiTheme="majorHAnsi" w:hAnsiTheme="majorHAnsi" w:cstheme="majorHAnsi"/>
          <w:bCs/>
        </w:rPr>
        <w:t>, quest’anno è cresciuto di quasi il 43%</w:t>
      </w:r>
      <w:r w:rsidR="00AE2539">
        <w:rPr>
          <w:rFonts w:asciiTheme="majorHAnsi" w:hAnsiTheme="majorHAnsi" w:cstheme="majorHAnsi"/>
          <w:bCs/>
        </w:rPr>
        <w:t>)</w:t>
      </w:r>
      <w:r>
        <w:rPr>
          <w:rFonts w:asciiTheme="majorHAnsi" w:hAnsiTheme="majorHAnsi" w:cstheme="majorHAnsi"/>
          <w:bCs/>
        </w:rPr>
        <w:t xml:space="preserve">. La posizione di testa va a </w:t>
      </w:r>
      <w:r w:rsidRPr="006B044E">
        <w:rPr>
          <w:rFonts w:asciiTheme="majorHAnsi" w:hAnsiTheme="majorHAnsi" w:cstheme="majorHAnsi"/>
          <w:b/>
        </w:rPr>
        <w:t>Europcar</w:t>
      </w:r>
      <w:r>
        <w:rPr>
          <w:rFonts w:asciiTheme="majorHAnsi" w:hAnsiTheme="majorHAnsi" w:cstheme="majorHAnsi"/>
          <w:bCs/>
        </w:rPr>
        <w:t xml:space="preserve">, con un incremento delle immatricolazioni consistente (ha quasi quadruplicato le targhe). Seconda, come nel Q1 2023, </w:t>
      </w:r>
      <w:r w:rsidRPr="006B044E">
        <w:rPr>
          <w:rFonts w:asciiTheme="majorHAnsi" w:hAnsiTheme="majorHAnsi" w:cstheme="majorHAnsi"/>
          <w:b/>
        </w:rPr>
        <w:t>Hertz</w:t>
      </w:r>
      <w:r>
        <w:rPr>
          <w:rFonts w:asciiTheme="majorHAnsi" w:hAnsiTheme="majorHAnsi" w:cstheme="majorHAnsi"/>
          <w:bCs/>
        </w:rPr>
        <w:t xml:space="preserve"> (+53,68%). Quarta si piazza </w:t>
      </w:r>
      <w:r w:rsidRPr="006B044E">
        <w:rPr>
          <w:rFonts w:asciiTheme="majorHAnsi" w:hAnsiTheme="majorHAnsi" w:cstheme="majorHAnsi"/>
          <w:b/>
        </w:rPr>
        <w:t>Sixt</w:t>
      </w:r>
      <w:r>
        <w:rPr>
          <w:rFonts w:asciiTheme="majorHAnsi" w:hAnsiTheme="majorHAnsi" w:cstheme="majorHAnsi"/>
          <w:bCs/>
        </w:rPr>
        <w:t xml:space="preserve">, che l’anno scorso aveva inflottato pochissimo da gennaio a marzo (+424,4% nel 2024). A seguire gli </w:t>
      </w:r>
      <w:r w:rsidRPr="006B044E">
        <w:rPr>
          <w:rFonts w:asciiTheme="majorHAnsi" w:hAnsiTheme="majorHAnsi" w:cstheme="majorHAnsi"/>
          <w:b/>
        </w:rPr>
        <w:t>“Altri Operatori”</w:t>
      </w:r>
      <w:r>
        <w:rPr>
          <w:rFonts w:asciiTheme="majorHAnsi" w:hAnsiTheme="majorHAnsi" w:cstheme="majorHAnsi"/>
          <w:bCs/>
        </w:rPr>
        <w:t xml:space="preserve">, cioè l’insieme dei player dall’operatività locale: -13,77%, il raggruppamento del NBT dei </w:t>
      </w:r>
      <w:r w:rsidRPr="006B044E">
        <w:rPr>
          <w:rFonts w:asciiTheme="majorHAnsi" w:hAnsiTheme="majorHAnsi" w:cstheme="majorHAnsi"/>
          <w:b/>
        </w:rPr>
        <w:t>Concessionari e delle Case Auto</w:t>
      </w:r>
      <w:r>
        <w:rPr>
          <w:rFonts w:asciiTheme="majorHAnsi" w:hAnsiTheme="majorHAnsi" w:cstheme="majorHAnsi"/>
          <w:bCs/>
        </w:rPr>
        <w:t xml:space="preserve"> (+26,75%), </w:t>
      </w:r>
      <w:r w:rsidRPr="006B044E">
        <w:rPr>
          <w:rFonts w:asciiTheme="majorHAnsi" w:hAnsiTheme="majorHAnsi" w:cstheme="majorHAnsi"/>
          <w:b/>
        </w:rPr>
        <w:t>Locauto Rent</w:t>
      </w:r>
      <w:r>
        <w:rPr>
          <w:rFonts w:asciiTheme="majorHAnsi" w:hAnsiTheme="majorHAnsi" w:cstheme="majorHAnsi"/>
          <w:bCs/>
        </w:rPr>
        <w:t xml:space="preserve"> (+169,08%), </w:t>
      </w:r>
      <w:r w:rsidRPr="006B044E">
        <w:rPr>
          <w:rFonts w:asciiTheme="majorHAnsi" w:hAnsiTheme="majorHAnsi" w:cstheme="majorHAnsi"/>
          <w:b/>
        </w:rPr>
        <w:t>Noleggiare</w:t>
      </w:r>
      <w:r>
        <w:rPr>
          <w:rFonts w:asciiTheme="majorHAnsi" w:hAnsiTheme="majorHAnsi" w:cstheme="majorHAnsi"/>
          <w:bCs/>
        </w:rPr>
        <w:t xml:space="preserve"> (-19,72%), </w:t>
      </w:r>
      <w:r w:rsidRPr="006B044E">
        <w:rPr>
          <w:rFonts w:asciiTheme="majorHAnsi" w:hAnsiTheme="majorHAnsi" w:cstheme="majorHAnsi"/>
          <w:b/>
        </w:rPr>
        <w:t>Sicily by Car</w:t>
      </w:r>
      <w:r>
        <w:rPr>
          <w:rFonts w:asciiTheme="majorHAnsi" w:hAnsiTheme="majorHAnsi" w:cstheme="majorHAnsi"/>
          <w:bCs/>
        </w:rPr>
        <w:t xml:space="preserve"> (+142,57%), </w:t>
      </w:r>
      <w:r w:rsidRPr="006B044E">
        <w:rPr>
          <w:rFonts w:asciiTheme="majorHAnsi" w:hAnsiTheme="majorHAnsi" w:cstheme="majorHAnsi"/>
          <w:b/>
        </w:rPr>
        <w:t>Autovia</w:t>
      </w:r>
      <w:r>
        <w:rPr>
          <w:rFonts w:asciiTheme="majorHAnsi" w:hAnsiTheme="majorHAnsi" w:cstheme="majorHAnsi"/>
          <w:bCs/>
        </w:rPr>
        <w:t xml:space="preserve"> (-1,22%), </w:t>
      </w:r>
      <w:r w:rsidRPr="006B044E">
        <w:rPr>
          <w:rFonts w:asciiTheme="majorHAnsi" w:hAnsiTheme="majorHAnsi" w:cstheme="majorHAnsi"/>
          <w:b/>
        </w:rPr>
        <w:t>Centauro Rent</w:t>
      </w:r>
      <w:r>
        <w:rPr>
          <w:rFonts w:asciiTheme="majorHAnsi" w:hAnsiTheme="majorHAnsi" w:cstheme="majorHAnsi"/>
          <w:bCs/>
        </w:rPr>
        <w:t xml:space="preserve"> (+2,92%). Nelle posizioni di rincalzo i player ben al di sotto delle 1.000 unità.</w:t>
      </w:r>
    </w:p>
    <w:p w14:paraId="716F786C" w14:textId="519A3D76" w:rsidR="008D7F32" w:rsidRPr="00553FEF" w:rsidRDefault="008D7F32" w:rsidP="008D7F32">
      <w:pPr>
        <w:jc w:val="both"/>
        <w:rPr>
          <w:rFonts w:asciiTheme="majorHAnsi" w:hAnsiTheme="majorHAnsi" w:cstheme="majorHAnsi"/>
          <w:bCs/>
        </w:rPr>
      </w:pPr>
      <w:r w:rsidRPr="006B044E">
        <w:rPr>
          <w:rFonts w:asciiTheme="majorHAnsi" w:hAnsiTheme="majorHAnsi" w:cstheme="majorHAnsi"/>
          <w:b/>
        </w:rPr>
        <w:t>Il mercato del NBT dei veicoli commerciali leggeri è, come negli anni precedenti, molto frastagliato</w:t>
      </w:r>
      <w:r>
        <w:rPr>
          <w:rFonts w:asciiTheme="majorHAnsi" w:hAnsiTheme="majorHAnsi" w:cstheme="majorHAnsi"/>
          <w:bCs/>
        </w:rPr>
        <w:t xml:space="preserve">: al vertice della graduatoria c’è l’insieme dei “piccoli” </w:t>
      </w:r>
      <w:r w:rsidRPr="006B044E">
        <w:rPr>
          <w:rFonts w:asciiTheme="majorHAnsi" w:hAnsiTheme="majorHAnsi" w:cstheme="majorHAnsi"/>
          <w:b/>
        </w:rPr>
        <w:t>(“Altri Operatori”</w:t>
      </w:r>
      <w:r>
        <w:rPr>
          <w:rFonts w:asciiTheme="majorHAnsi" w:hAnsiTheme="majorHAnsi" w:cstheme="majorHAnsi"/>
          <w:bCs/>
        </w:rPr>
        <w:t xml:space="preserve">, +34,45%, con oltre la metà delle immatricolazioni complessive del comparto); a seguire, a distanza </w:t>
      </w:r>
      <w:r w:rsidR="007442BB">
        <w:rPr>
          <w:rFonts w:asciiTheme="majorHAnsi" w:hAnsiTheme="majorHAnsi" w:cstheme="majorHAnsi"/>
          <w:bCs/>
        </w:rPr>
        <w:t>significativa</w:t>
      </w:r>
      <w:r>
        <w:rPr>
          <w:rFonts w:asciiTheme="majorHAnsi" w:hAnsiTheme="majorHAnsi" w:cstheme="majorHAnsi"/>
          <w:bCs/>
        </w:rPr>
        <w:t xml:space="preserve">, </w:t>
      </w:r>
      <w:r w:rsidRPr="006B044E">
        <w:rPr>
          <w:rFonts w:asciiTheme="majorHAnsi" w:hAnsiTheme="majorHAnsi" w:cstheme="majorHAnsi"/>
          <w:b/>
        </w:rPr>
        <w:t>Avis Budget Italia</w:t>
      </w:r>
      <w:r>
        <w:rPr>
          <w:rFonts w:asciiTheme="majorHAnsi" w:hAnsiTheme="majorHAnsi" w:cstheme="majorHAnsi"/>
          <w:bCs/>
        </w:rPr>
        <w:t xml:space="preserve"> (-17,04%), </w:t>
      </w:r>
      <w:r w:rsidRPr="006B044E">
        <w:rPr>
          <w:rFonts w:asciiTheme="majorHAnsi" w:hAnsiTheme="majorHAnsi" w:cstheme="majorHAnsi"/>
          <w:b/>
        </w:rPr>
        <w:t>Sixt</w:t>
      </w:r>
      <w:r>
        <w:rPr>
          <w:rFonts w:asciiTheme="majorHAnsi" w:hAnsiTheme="majorHAnsi" w:cstheme="majorHAnsi"/>
          <w:bCs/>
        </w:rPr>
        <w:t xml:space="preserve"> (che l’anno scorso era fermo a quota zero), l’insieme delle immatricolazioni di </w:t>
      </w:r>
      <w:r w:rsidRPr="006B044E">
        <w:rPr>
          <w:rFonts w:asciiTheme="majorHAnsi" w:hAnsiTheme="majorHAnsi" w:cstheme="majorHAnsi"/>
          <w:b/>
        </w:rPr>
        <w:t>noleggio dei Concessionari e delle Case Auto</w:t>
      </w:r>
      <w:r>
        <w:rPr>
          <w:rFonts w:asciiTheme="majorHAnsi" w:hAnsiTheme="majorHAnsi" w:cstheme="majorHAnsi"/>
          <w:bCs/>
        </w:rPr>
        <w:t xml:space="preserve"> (-8,72%), </w:t>
      </w:r>
      <w:r w:rsidRPr="006B044E">
        <w:rPr>
          <w:rFonts w:asciiTheme="majorHAnsi" w:hAnsiTheme="majorHAnsi" w:cstheme="majorHAnsi"/>
          <w:b/>
        </w:rPr>
        <w:t>Hertz</w:t>
      </w:r>
      <w:r>
        <w:rPr>
          <w:rFonts w:asciiTheme="majorHAnsi" w:hAnsiTheme="majorHAnsi" w:cstheme="majorHAnsi"/>
          <w:bCs/>
        </w:rPr>
        <w:t xml:space="preserve"> (-57,93%), </w:t>
      </w:r>
      <w:r w:rsidRPr="006B044E">
        <w:rPr>
          <w:rFonts w:asciiTheme="majorHAnsi" w:hAnsiTheme="majorHAnsi" w:cstheme="majorHAnsi"/>
          <w:b/>
        </w:rPr>
        <w:t>Buy Fleet</w:t>
      </w:r>
      <w:r>
        <w:rPr>
          <w:rFonts w:asciiTheme="majorHAnsi" w:hAnsiTheme="majorHAnsi" w:cstheme="majorHAnsi"/>
          <w:bCs/>
        </w:rPr>
        <w:t xml:space="preserve"> (+59,42%) ed </w:t>
      </w:r>
      <w:r w:rsidRPr="006B044E">
        <w:rPr>
          <w:rFonts w:asciiTheme="majorHAnsi" w:hAnsiTheme="majorHAnsi" w:cstheme="majorHAnsi"/>
          <w:b/>
        </w:rPr>
        <w:t>Europcar</w:t>
      </w:r>
      <w:r>
        <w:rPr>
          <w:rFonts w:asciiTheme="majorHAnsi" w:hAnsiTheme="majorHAnsi" w:cstheme="majorHAnsi"/>
          <w:bCs/>
        </w:rPr>
        <w:t xml:space="preserve">, che è l’ultimo dei player a superare le 100 unità targate nel Q1 di quest’anno. </w:t>
      </w:r>
    </w:p>
    <w:p w14:paraId="70B52083" w14:textId="77777777" w:rsidR="005F203C" w:rsidRDefault="005F203C" w:rsidP="004857A5">
      <w:pPr>
        <w:jc w:val="center"/>
        <w:rPr>
          <w:rFonts w:asciiTheme="majorHAnsi" w:hAnsiTheme="majorHAnsi" w:cstheme="majorHAnsi"/>
        </w:rPr>
      </w:pPr>
    </w:p>
    <w:p w14:paraId="72ED77F7" w14:textId="3EF5A484" w:rsidR="004857A5" w:rsidRDefault="005F203C" w:rsidP="004857A5">
      <w:pPr>
        <w:jc w:val="center"/>
        <w:rPr>
          <w:rFonts w:asciiTheme="majorHAnsi" w:hAnsiTheme="majorHAnsi" w:cstheme="majorHAnsi"/>
        </w:rPr>
      </w:pPr>
      <w:r w:rsidRPr="005F203C">
        <w:rPr>
          <w:noProof/>
        </w:rPr>
        <w:drawing>
          <wp:inline distT="0" distB="0" distL="0" distR="0" wp14:anchorId="7EA32279" wp14:editId="0D3A3F22">
            <wp:extent cx="6343650" cy="5182286"/>
            <wp:effectExtent l="0" t="0" r="0" b="0"/>
            <wp:docPr id="34" name="Immagine 3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 34">
                      <a:hlinkClick r:id="rId10"/>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44168" cy="5182709"/>
                    </a:xfrm>
                    <a:prstGeom prst="rect">
                      <a:avLst/>
                    </a:prstGeom>
                    <a:noFill/>
                    <a:ln>
                      <a:noFill/>
                    </a:ln>
                  </pic:spPr>
                </pic:pic>
              </a:graphicData>
            </a:graphic>
          </wp:inline>
        </w:drawing>
      </w:r>
      <w:r w:rsidR="004857A5">
        <w:rPr>
          <w:rFonts w:asciiTheme="majorHAnsi" w:hAnsiTheme="majorHAnsi" w:cstheme="majorHAnsi"/>
        </w:rPr>
        <w:br w:type="page"/>
      </w:r>
    </w:p>
    <w:p w14:paraId="08BE9B7D" w14:textId="14AD195C" w:rsidR="00241406" w:rsidRDefault="005F203C" w:rsidP="00241406">
      <w:pPr>
        <w:jc w:val="both"/>
        <w:rPr>
          <w:rFonts w:asciiTheme="majorHAnsi" w:hAnsiTheme="majorHAnsi" w:cstheme="majorHAnsi"/>
          <w:b/>
        </w:rPr>
      </w:pPr>
      <w:r>
        <w:rPr>
          <w:rFonts w:asciiTheme="majorHAnsi" w:hAnsiTheme="majorHAnsi" w:cstheme="majorHAnsi"/>
          <w:b/>
        </w:rPr>
        <w:t>FORECAST 2024</w:t>
      </w:r>
    </w:p>
    <w:p w14:paraId="10E192BD" w14:textId="77777777" w:rsidR="005F203C" w:rsidRPr="00B65608" w:rsidRDefault="005F203C" w:rsidP="00241406">
      <w:pPr>
        <w:jc w:val="both"/>
        <w:rPr>
          <w:rFonts w:asciiTheme="majorHAnsi" w:hAnsiTheme="majorHAnsi" w:cstheme="majorHAnsi"/>
          <w:b/>
        </w:rPr>
      </w:pPr>
    </w:p>
    <w:p w14:paraId="4A1DE00B" w14:textId="7089CA52" w:rsidR="008D7F32" w:rsidRDefault="008D7F32" w:rsidP="008D7F32">
      <w:pPr>
        <w:jc w:val="both"/>
        <w:rPr>
          <w:rFonts w:asciiTheme="majorHAnsi" w:hAnsiTheme="majorHAnsi" w:cstheme="majorHAnsi"/>
        </w:rPr>
      </w:pPr>
      <w:r w:rsidRPr="00D4646E">
        <w:rPr>
          <w:rFonts w:asciiTheme="majorHAnsi" w:hAnsiTheme="majorHAnsi" w:cstheme="majorHAnsi"/>
        </w:rPr>
        <w:t xml:space="preserve">La </w:t>
      </w:r>
      <w:r w:rsidRPr="00D4646E">
        <w:rPr>
          <w:rFonts w:asciiTheme="majorHAnsi" w:hAnsiTheme="majorHAnsi" w:cstheme="majorHAnsi"/>
          <w:b/>
        </w:rPr>
        <w:t>previsione di Dataforce</w:t>
      </w:r>
      <w:r w:rsidRPr="00D4646E">
        <w:rPr>
          <w:rFonts w:asciiTheme="majorHAnsi" w:hAnsiTheme="majorHAnsi" w:cstheme="majorHAnsi"/>
        </w:rPr>
        <w:t xml:space="preserve"> </w:t>
      </w:r>
      <w:r w:rsidRPr="001B1AEF">
        <w:rPr>
          <w:rFonts w:asciiTheme="majorHAnsi" w:hAnsiTheme="majorHAnsi" w:cstheme="majorHAnsi"/>
          <w:b/>
          <w:bCs/>
        </w:rPr>
        <w:t xml:space="preserve">per il 2024 vede un volume del </w:t>
      </w:r>
      <w:r w:rsidRPr="00D4646E">
        <w:rPr>
          <w:rFonts w:asciiTheme="majorHAnsi" w:hAnsiTheme="majorHAnsi" w:cstheme="majorHAnsi"/>
          <w:b/>
        </w:rPr>
        <w:t>noleggio a lungo termine</w:t>
      </w:r>
      <w:r>
        <w:rPr>
          <w:rFonts w:asciiTheme="majorHAnsi" w:hAnsiTheme="majorHAnsi" w:cstheme="majorHAnsi"/>
        </w:rPr>
        <w:t xml:space="preserve">, sia ai privati sia alle aziende, </w:t>
      </w:r>
      <w:r w:rsidRPr="00D4646E">
        <w:rPr>
          <w:rFonts w:asciiTheme="majorHAnsi" w:hAnsiTheme="majorHAnsi" w:cstheme="majorHAnsi"/>
        </w:rPr>
        <w:t>(</w:t>
      </w:r>
      <w:r>
        <w:rPr>
          <w:rFonts w:asciiTheme="majorHAnsi" w:hAnsiTheme="majorHAnsi" w:cstheme="majorHAnsi"/>
        </w:rPr>
        <w:t xml:space="preserve">ma </w:t>
      </w:r>
      <w:r w:rsidRPr="00D4646E">
        <w:rPr>
          <w:rFonts w:asciiTheme="majorHAnsi" w:hAnsiTheme="majorHAnsi" w:cstheme="majorHAnsi"/>
        </w:rPr>
        <w:t xml:space="preserve">al netto del rent to rent) </w:t>
      </w:r>
      <w:r w:rsidRPr="001B1AEF">
        <w:rPr>
          <w:rFonts w:asciiTheme="majorHAnsi" w:hAnsiTheme="majorHAnsi" w:cstheme="majorHAnsi"/>
          <w:b/>
          <w:bCs/>
        </w:rPr>
        <w:t>molto simile a quello del 2023</w:t>
      </w:r>
      <w:r>
        <w:rPr>
          <w:rFonts w:asciiTheme="majorHAnsi" w:hAnsiTheme="majorHAnsi" w:cstheme="majorHAnsi"/>
        </w:rPr>
        <w:t xml:space="preserve">: 437.500, circa 7.000 veicoli in più. Si tratta di un incremento dell’1,6%. </w:t>
      </w:r>
      <w:r w:rsidRPr="001B1AEF">
        <w:rPr>
          <w:rFonts w:asciiTheme="majorHAnsi" w:hAnsiTheme="majorHAnsi" w:cstheme="majorHAnsi"/>
          <w:b/>
          <w:bCs/>
        </w:rPr>
        <w:t>Migliore l’andamento ipotizzato per gli LCV: +3,2%, più del doppio rispetto al comparto Passenger Cars (+1,4%).</w:t>
      </w:r>
      <w:r>
        <w:rPr>
          <w:rFonts w:asciiTheme="majorHAnsi" w:hAnsiTheme="majorHAnsi" w:cstheme="majorHAnsi"/>
        </w:rPr>
        <w:t xml:space="preserve"> Le vetture aggiuntive dovrebbero quindi essere circa 5.000 in più, mentre i veicoli commercial</w:t>
      </w:r>
      <w:r w:rsidR="007442BB">
        <w:rPr>
          <w:rFonts w:asciiTheme="majorHAnsi" w:hAnsiTheme="majorHAnsi" w:cstheme="majorHAnsi"/>
        </w:rPr>
        <w:t>i</w:t>
      </w:r>
      <w:r>
        <w:rPr>
          <w:rFonts w:asciiTheme="majorHAnsi" w:hAnsiTheme="majorHAnsi" w:cstheme="majorHAnsi"/>
        </w:rPr>
        <w:t xml:space="preserve"> attorno alle 2.000 unità.</w:t>
      </w:r>
    </w:p>
    <w:p w14:paraId="58865BD9" w14:textId="77777777" w:rsidR="00241406" w:rsidRDefault="00241406" w:rsidP="00241406">
      <w:pPr>
        <w:jc w:val="both"/>
        <w:rPr>
          <w:rFonts w:asciiTheme="majorHAnsi" w:hAnsiTheme="majorHAnsi" w:cstheme="majorHAnsi"/>
        </w:rPr>
      </w:pPr>
    </w:p>
    <w:p w14:paraId="357E6761" w14:textId="7C8F37CC" w:rsidR="00241406" w:rsidRDefault="00F55F98" w:rsidP="00241406">
      <w:pPr>
        <w:jc w:val="center"/>
        <w:rPr>
          <w:rFonts w:asciiTheme="majorHAnsi" w:hAnsiTheme="majorHAnsi" w:cstheme="majorHAnsi"/>
        </w:rPr>
      </w:pPr>
      <w:r w:rsidRPr="00F55F98">
        <w:rPr>
          <w:noProof/>
        </w:rPr>
        <w:drawing>
          <wp:inline distT="0" distB="0" distL="0" distR="0" wp14:anchorId="3D693BCF" wp14:editId="0E94C010">
            <wp:extent cx="6475730" cy="2912110"/>
            <wp:effectExtent l="0" t="0" r="1270" b="2540"/>
            <wp:docPr id="1246918072" name="Immagine 2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918072" name="Immagine 26">
                      <a:hlinkClick r:id="rId10"/>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5730" cy="2912110"/>
                    </a:xfrm>
                    <a:prstGeom prst="rect">
                      <a:avLst/>
                    </a:prstGeom>
                    <a:noFill/>
                    <a:ln>
                      <a:noFill/>
                    </a:ln>
                  </pic:spPr>
                </pic:pic>
              </a:graphicData>
            </a:graphic>
          </wp:inline>
        </w:drawing>
      </w:r>
    </w:p>
    <w:p w14:paraId="4D50BC05" w14:textId="07D6565E" w:rsidR="00241406" w:rsidRPr="00B65608" w:rsidRDefault="00241406" w:rsidP="00241406">
      <w:pPr>
        <w:jc w:val="both"/>
        <w:rPr>
          <w:rFonts w:asciiTheme="majorHAnsi" w:hAnsiTheme="majorHAnsi" w:cstheme="majorHAnsi"/>
        </w:rPr>
      </w:pPr>
    </w:p>
    <w:p w14:paraId="5318AB9B" w14:textId="3DFAD98F" w:rsidR="008D7F32" w:rsidRPr="00D4646E" w:rsidRDefault="008D7F32" w:rsidP="008D7F32">
      <w:pPr>
        <w:jc w:val="both"/>
        <w:rPr>
          <w:rFonts w:asciiTheme="majorHAnsi" w:hAnsiTheme="majorHAnsi" w:cstheme="majorHAnsi"/>
        </w:rPr>
      </w:pPr>
      <w:r w:rsidRPr="00D4646E">
        <w:rPr>
          <w:rFonts w:asciiTheme="majorHAnsi" w:hAnsiTheme="majorHAnsi" w:cstheme="majorHAnsi"/>
        </w:rPr>
        <w:t xml:space="preserve">Per Il </w:t>
      </w:r>
      <w:r w:rsidRPr="00D4646E">
        <w:rPr>
          <w:rFonts w:asciiTheme="majorHAnsi" w:hAnsiTheme="majorHAnsi" w:cstheme="majorHAnsi"/>
          <w:b/>
        </w:rPr>
        <w:t>breve termine</w:t>
      </w:r>
      <w:r w:rsidRPr="00D4646E">
        <w:rPr>
          <w:rFonts w:asciiTheme="majorHAnsi" w:hAnsiTheme="majorHAnsi" w:cstheme="majorHAnsi"/>
        </w:rPr>
        <w:t xml:space="preserve">, rent to rent incluso, invece </w:t>
      </w:r>
      <w:r w:rsidRPr="001B1AEF">
        <w:rPr>
          <w:rFonts w:asciiTheme="majorHAnsi" w:hAnsiTheme="majorHAnsi" w:cstheme="majorHAnsi"/>
          <w:b/>
          <w:bCs/>
        </w:rPr>
        <w:t>è probabile un incremento più sostanzioso delle Passenger Cars</w:t>
      </w:r>
      <w:r>
        <w:rPr>
          <w:rFonts w:asciiTheme="majorHAnsi" w:hAnsiTheme="majorHAnsi" w:cstheme="majorHAnsi"/>
        </w:rPr>
        <w:t xml:space="preserve">: +20,8%. Un dato che però dimezza il </w:t>
      </w:r>
      <w:r w:rsidR="007442BB">
        <w:rPr>
          <w:rFonts w:asciiTheme="majorHAnsi" w:hAnsiTheme="majorHAnsi" w:cstheme="majorHAnsi"/>
        </w:rPr>
        <w:t>valore</w:t>
      </w:r>
      <w:r>
        <w:rPr>
          <w:rFonts w:asciiTheme="majorHAnsi" w:hAnsiTheme="majorHAnsi" w:cstheme="majorHAnsi"/>
        </w:rPr>
        <w:t xml:space="preserve"> effettivo </w:t>
      </w:r>
      <w:r w:rsidR="007442BB">
        <w:rPr>
          <w:rFonts w:asciiTheme="majorHAnsi" w:hAnsiTheme="majorHAnsi" w:cstheme="majorHAnsi"/>
        </w:rPr>
        <w:t>consolidato n</w:t>
      </w:r>
      <w:r>
        <w:rPr>
          <w:rFonts w:asciiTheme="majorHAnsi" w:hAnsiTheme="majorHAnsi" w:cstheme="majorHAnsi"/>
        </w:rPr>
        <w:t xml:space="preserve">el primo trimestre. </w:t>
      </w:r>
      <w:r w:rsidRPr="001B1AEF">
        <w:rPr>
          <w:rFonts w:asciiTheme="majorHAnsi" w:hAnsiTheme="majorHAnsi" w:cstheme="majorHAnsi"/>
          <w:b/>
          <w:bCs/>
        </w:rPr>
        <w:t>Più contenuto il saldo positivo ipotizzato per gli LCV</w:t>
      </w:r>
      <w:r>
        <w:rPr>
          <w:rFonts w:asciiTheme="majorHAnsi" w:hAnsiTheme="majorHAnsi" w:cstheme="majorHAnsi"/>
        </w:rPr>
        <w:t xml:space="preserve">: +4,2%. Complessivamente il </w:t>
      </w:r>
      <w:r w:rsidRPr="007442BB">
        <w:rPr>
          <w:rFonts w:asciiTheme="majorHAnsi" w:hAnsiTheme="majorHAnsi" w:cstheme="majorHAnsi"/>
          <w:b/>
          <w:bCs/>
        </w:rPr>
        <w:t>NBT</w:t>
      </w:r>
      <w:r>
        <w:rPr>
          <w:rFonts w:asciiTheme="majorHAnsi" w:hAnsiTheme="majorHAnsi" w:cstheme="majorHAnsi"/>
        </w:rPr>
        <w:t xml:space="preserve"> dovrebbe attestarsi su un volume di immatricolazioni di 102.800 unità, cioè oltre 16.000 in più, quasi tutte ascrivibili alle </w:t>
      </w:r>
      <w:r w:rsidRPr="007442BB">
        <w:rPr>
          <w:rFonts w:asciiTheme="majorHAnsi" w:hAnsiTheme="majorHAnsi" w:cstheme="majorHAnsi"/>
          <w:b/>
          <w:bCs/>
        </w:rPr>
        <w:t>Passenger Cars</w:t>
      </w:r>
      <w:r>
        <w:rPr>
          <w:rFonts w:asciiTheme="majorHAnsi" w:hAnsiTheme="majorHAnsi" w:cstheme="majorHAnsi"/>
        </w:rPr>
        <w:t xml:space="preserve">. </w:t>
      </w:r>
    </w:p>
    <w:p w14:paraId="747C44D4" w14:textId="77777777" w:rsidR="008D7F32" w:rsidRPr="00B65608" w:rsidRDefault="008D7F32" w:rsidP="008D7F32">
      <w:pPr>
        <w:jc w:val="both"/>
        <w:rPr>
          <w:rFonts w:asciiTheme="majorHAnsi" w:hAnsiTheme="majorHAnsi" w:cstheme="majorHAnsi"/>
          <w:b/>
          <w:color w:val="FF0000"/>
        </w:rPr>
      </w:pPr>
    </w:p>
    <w:p w14:paraId="104764F1" w14:textId="77777777" w:rsidR="00F25FFA" w:rsidRPr="00B65608" w:rsidRDefault="00000000" w:rsidP="00F25FFA">
      <w:pPr>
        <w:jc w:val="both"/>
        <w:rPr>
          <w:rFonts w:asciiTheme="majorHAnsi" w:hAnsiTheme="majorHAnsi" w:cstheme="majorHAnsi"/>
        </w:rPr>
      </w:pPr>
      <w:r>
        <w:rPr>
          <w:rFonts w:asciiTheme="majorHAnsi" w:hAnsiTheme="majorHAnsi" w:cstheme="majorHAnsi"/>
          <w:noProof/>
        </w:rPr>
        <w:pict w14:anchorId="257BC4A9">
          <v:rect id="_x0000_i1026" alt="" style="width:481.9pt;height:.05pt;mso-width-percent:0;mso-height-percent:0;mso-width-percent:0;mso-height-percent:0" o:hralign="center" o:hrstd="t" o:hr="t" fillcolor="#a0a0a0" stroked="f"/>
        </w:pict>
      </w:r>
    </w:p>
    <w:p w14:paraId="1DF82A59" w14:textId="23C76D90" w:rsidR="00F25FFA" w:rsidRPr="00B65608" w:rsidRDefault="00F25FFA" w:rsidP="00F25FFA">
      <w:pPr>
        <w:shd w:val="clear" w:color="auto" w:fill="FFFFFF"/>
        <w:jc w:val="center"/>
        <w:rPr>
          <w:rFonts w:asciiTheme="majorHAnsi" w:hAnsiTheme="majorHAnsi" w:cstheme="majorHAnsi"/>
          <w:i/>
        </w:rPr>
      </w:pPr>
      <w:r w:rsidRPr="00B65608">
        <w:rPr>
          <w:rFonts w:asciiTheme="majorHAnsi" w:hAnsiTheme="majorHAnsi" w:cstheme="majorHAnsi"/>
          <w:i/>
        </w:rPr>
        <w:t>In caso di pubblicazione</w:t>
      </w:r>
      <w:r w:rsidR="00B65608" w:rsidRPr="00B65608">
        <w:rPr>
          <w:rFonts w:asciiTheme="majorHAnsi" w:hAnsiTheme="majorHAnsi" w:cstheme="majorHAnsi"/>
          <w:i/>
        </w:rPr>
        <w:t xml:space="preserve"> dei dati esposti</w:t>
      </w:r>
      <w:r w:rsidRPr="00B65608">
        <w:rPr>
          <w:rFonts w:asciiTheme="majorHAnsi" w:hAnsiTheme="majorHAnsi" w:cstheme="majorHAnsi"/>
          <w:i/>
        </w:rPr>
        <w:t>, citare sempre</w:t>
      </w:r>
    </w:p>
    <w:p w14:paraId="547D6608" w14:textId="0DE7F79B" w:rsidR="00F25FFA" w:rsidRPr="00B65608" w:rsidRDefault="00F25FFA" w:rsidP="00F25FFA">
      <w:pPr>
        <w:shd w:val="clear" w:color="auto" w:fill="FFFFFF"/>
        <w:jc w:val="center"/>
        <w:rPr>
          <w:rFonts w:asciiTheme="majorHAnsi" w:eastAsia="Calibri" w:hAnsiTheme="majorHAnsi" w:cstheme="majorHAnsi"/>
          <w:b/>
        </w:rPr>
      </w:pPr>
      <w:bookmarkStart w:id="2" w:name="_30j0zll" w:colFirst="0" w:colLast="0"/>
      <w:bookmarkEnd w:id="2"/>
      <w:r w:rsidRPr="00B65608">
        <w:rPr>
          <w:rFonts w:asciiTheme="majorHAnsi" w:hAnsiTheme="majorHAnsi" w:cstheme="majorHAnsi"/>
          <w:i/>
        </w:rPr>
        <w:t xml:space="preserve">“Elaborazione Dataforce su fonte Ministero Infrastrutture e </w:t>
      </w:r>
      <w:r w:rsidR="001E1641" w:rsidRPr="00B65608">
        <w:rPr>
          <w:rFonts w:asciiTheme="majorHAnsi" w:hAnsiTheme="majorHAnsi" w:cstheme="majorHAnsi"/>
          <w:i/>
        </w:rPr>
        <w:t>Trasporti</w:t>
      </w:r>
      <w:r w:rsidRPr="00B65608">
        <w:rPr>
          <w:rFonts w:asciiTheme="majorHAnsi" w:hAnsiTheme="majorHAnsi" w:cstheme="majorHAnsi"/>
          <w:i/>
        </w:rPr>
        <w:t xml:space="preserve"> e ACI”</w:t>
      </w:r>
    </w:p>
    <w:p w14:paraId="3C5B0FC9" w14:textId="3BE3DB2F" w:rsidR="00C44C54" w:rsidRPr="00B65608" w:rsidRDefault="00C44C54" w:rsidP="00C44C54">
      <w:pPr>
        <w:rPr>
          <w:rFonts w:asciiTheme="majorHAnsi" w:hAnsiTheme="majorHAnsi" w:cstheme="majorHAnsi"/>
        </w:rPr>
      </w:pPr>
    </w:p>
    <w:sectPr w:rsidR="00C44C54" w:rsidRPr="00B65608" w:rsidSect="00AB5DCE">
      <w:headerReference w:type="default" r:id="rId25"/>
      <w:footerReference w:type="default" r:id="rId26"/>
      <w:pgSz w:w="11900" w:h="16840"/>
      <w:pgMar w:top="1418" w:right="851" w:bottom="1276" w:left="851" w:header="709" w:footer="8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79B2D" w14:textId="77777777" w:rsidR="00AB5DCE" w:rsidRDefault="00AB5DCE" w:rsidP="00DB6C34">
      <w:r>
        <w:separator/>
      </w:r>
    </w:p>
  </w:endnote>
  <w:endnote w:type="continuationSeparator" w:id="0">
    <w:p w14:paraId="6BAAB71A" w14:textId="77777777" w:rsidR="00AB5DCE" w:rsidRDefault="00AB5DCE" w:rsidP="00DB6C34">
      <w:r>
        <w:continuationSeparator/>
      </w:r>
    </w:p>
  </w:endnote>
  <w:endnote w:type="continuationNotice" w:id="1">
    <w:p w14:paraId="0DA7EF44" w14:textId="77777777" w:rsidR="00AB5DCE" w:rsidRDefault="00AB5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5094"/>
      <w:gridCol w:w="5094"/>
    </w:tblGrid>
    <w:tr w:rsidR="00004039" w:rsidRPr="00004039" w14:paraId="239B1D3A" w14:textId="77777777" w:rsidTr="00A266F1">
      <w:tc>
        <w:tcPr>
          <w:tcW w:w="5094" w:type="dxa"/>
        </w:tcPr>
        <w:p w14:paraId="10F3B7CC" w14:textId="77777777" w:rsidR="00004039" w:rsidRPr="00004039" w:rsidRDefault="00004039" w:rsidP="00004039">
          <w:pPr>
            <w:rPr>
              <w:rFonts w:asciiTheme="majorHAnsi" w:hAnsiTheme="majorHAnsi" w:cstheme="majorHAnsi"/>
              <w:sz w:val="18"/>
              <w:szCs w:val="18"/>
            </w:rPr>
          </w:pPr>
          <w:r w:rsidRPr="00004039">
            <w:rPr>
              <w:rFonts w:asciiTheme="majorHAnsi" w:hAnsiTheme="majorHAnsi" w:cstheme="majorHAnsi"/>
              <w:sz w:val="18"/>
              <w:szCs w:val="18"/>
            </w:rPr>
            <w:t xml:space="preserve">ANIASA - Associazione Nazionale Industria dell’Autonoleggio, </w:t>
          </w:r>
        </w:p>
        <w:p w14:paraId="70DED45D" w14:textId="77777777" w:rsidR="00004039" w:rsidRPr="00004039" w:rsidRDefault="00004039" w:rsidP="00004039">
          <w:pPr>
            <w:rPr>
              <w:rFonts w:asciiTheme="majorHAnsi" w:hAnsiTheme="majorHAnsi" w:cstheme="majorHAnsi"/>
              <w:sz w:val="18"/>
              <w:szCs w:val="18"/>
            </w:rPr>
          </w:pPr>
          <w:r w:rsidRPr="00004039">
            <w:rPr>
              <w:rFonts w:asciiTheme="majorHAnsi" w:hAnsiTheme="majorHAnsi" w:cstheme="majorHAnsi"/>
              <w:sz w:val="18"/>
              <w:szCs w:val="18"/>
            </w:rPr>
            <w:t>della Sharing mobility e dell’Automotive digital</w:t>
          </w:r>
        </w:p>
        <w:p w14:paraId="2F85EA06" w14:textId="77777777" w:rsidR="00004039" w:rsidRPr="00004039" w:rsidRDefault="00004039" w:rsidP="00004039">
          <w:pPr>
            <w:rPr>
              <w:rFonts w:asciiTheme="majorHAnsi" w:hAnsiTheme="majorHAnsi" w:cstheme="majorHAnsi"/>
              <w:sz w:val="18"/>
              <w:szCs w:val="18"/>
            </w:rPr>
          </w:pPr>
          <w:r w:rsidRPr="00004039">
            <w:rPr>
              <w:rFonts w:asciiTheme="majorHAnsi" w:hAnsiTheme="majorHAnsi" w:cstheme="majorHAnsi"/>
              <w:sz w:val="18"/>
              <w:szCs w:val="18"/>
            </w:rPr>
            <w:t>Via del Poggio Laurentino, 11 – 00144 Roma</w:t>
          </w:r>
        </w:p>
        <w:p w14:paraId="3F6FB3EF" w14:textId="77777777" w:rsidR="00004039" w:rsidRPr="00004039" w:rsidRDefault="00000000" w:rsidP="00004039">
          <w:pPr>
            <w:rPr>
              <w:rFonts w:asciiTheme="majorHAnsi" w:eastAsia="Cambria" w:hAnsiTheme="majorHAnsi" w:cstheme="majorHAnsi"/>
              <w:sz w:val="18"/>
              <w:szCs w:val="18"/>
            </w:rPr>
          </w:pPr>
          <w:hyperlink r:id="rId1" w:history="1">
            <w:r w:rsidR="00004039" w:rsidRPr="00004039">
              <w:rPr>
                <w:rStyle w:val="Collegamentoipertestuale"/>
                <w:rFonts w:asciiTheme="majorHAnsi" w:hAnsiTheme="majorHAnsi" w:cstheme="majorHAnsi"/>
                <w:sz w:val="18"/>
                <w:szCs w:val="18"/>
              </w:rPr>
              <w:t>aniasa@aniasa.it</w:t>
            </w:r>
          </w:hyperlink>
          <w:r w:rsidR="00004039" w:rsidRPr="00004039">
            <w:rPr>
              <w:rFonts w:asciiTheme="majorHAnsi" w:hAnsiTheme="majorHAnsi" w:cstheme="majorHAnsi"/>
              <w:sz w:val="18"/>
              <w:szCs w:val="18"/>
            </w:rPr>
            <w:t xml:space="preserve"> | </w:t>
          </w:r>
          <w:hyperlink r:id="rId2" w:history="1">
            <w:r w:rsidR="00004039" w:rsidRPr="00004039">
              <w:rPr>
                <w:rStyle w:val="Collegamentoipertestuale"/>
                <w:rFonts w:asciiTheme="majorHAnsi" w:hAnsiTheme="majorHAnsi" w:cstheme="majorHAnsi"/>
                <w:sz w:val="18"/>
                <w:szCs w:val="18"/>
              </w:rPr>
              <w:t>https://www.aniasa.it/</w:t>
            </w:r>
          </w:hyperlink>
          <w:r w:rsidR="00004039" w:rsidRPr="00004039">
            <w:rPr>
              <w:rFonts w:asciiTheme="majorHAnsi" w:hAnsiTheme="majorHAnsi" w:cstheme="majorHAnsi"/>
              <w:sz w:val="18"/>
              <w:szCs w:val="18"/>
            </w:rPr>
            <w:t xml:space="preserve"> | C.F. 97637910585</w:t>
          </w:r>
        </w:p>
      </w:tc>
      <w:tc>
        <w:tcPr>
          <w:tcW w:w="5094" w:type="dxa"/>
        </w:tcPr>
        <w:p w14:paraId="3B56A3CD" w14:textId="77777777" w:rsidR="00004039" w:rsidRPr="00004039" w:rsidRDefault="00004039" w:rsidP="00004039">
          <w:pPr>
            <w:tabs>
              <w:tab w:val="center" w:pos="-6946"/>
              <w:tab w:val="left" w:pos="4678"/>
              <w:tab w:val="right" w:pos="9072"/>
            </w:tabs>
            <w:jc w:val="right"/>
            <w:rPr>
              <w:rFonts w:asciiTheme="majorHAnsi" w:hAnsiTheme="majorHAnsi" w:cstheme="majorHAnsi"/>
              <w:color w:val="0C2D56"/>
              <w:sz w:val="18"/>
              <w:szCs w:val="18"/>
            </w:rPr>
          </w:pPr>
          <w:r w:rsidRPr="00004039">
            <w:rPr>
              <w:rFonts w:asciiTheme="majorHAnsi" w:hAnsiTheme="majorHAnsi" w:cstheme="majorHAnsi"/>
              <w:color w:val="0C2D56"/>
              <w:sz w:val="18"/>
              <w:szCs w:val="18"/>
            </w:rPr>
            <w:t>Dataforce Italia S.r.l.</w:t>
          </w:r>
        </w:p>
        <w:p w14:paraId="05D6D05C" w14:textId="77777777" w:rsidR="00004039" w:rsidRPr="00004039" w:rsidRDefault="00004039" w:rsidP="00004039">
          <w:pPr>
            <w:tabs>
              <w:tab w:val="center" w:pos="-6946"/>
              <w:tab w:val="left" w:pos="4678"/>
              <w:tab w:val="right" w:pos="9072"/>
            </w:tabs>
            <w:jc w:val="right"/>
            <w:rPr>
              <w:rFonts w:asciiTheme="majorHAnsi" w:hAnsiTheme="majorHAnsi" w:cstheme="majorHAnsi"/>
              <w:color w:val="0C2D56"/>
              <w:sz w:val="18"/>
              <w:szCs w:val="18"/>
            </w:rPr>
          </w:pPr>
          <w:r w:rsidRPr="00004039">
            <w:rPr>
              <w:rFonts w:asciiTheme="majorHAnsi" w:hAnsiTheme="majorHAnsi" w:cstheme="majorHAnsi"/>
              <w:color w:val="0C2D56"/>
              <w:sz w:val="18"/>
              <w:szCs w:val="18"/>
            </w:rPr>
            <w:t>Piazza di Sant'Anastasia, 7 – 00186 Roma</w:t>
          </w:r>
        </w:p>
        <w:p w14:paraId="1D040795" w14:textId="77777777" w:rsidR="00004039" w:rsidRPr="00004039" w:rsidRDefault="00000000" w:rsidP="00004039">
          <w:pPr>
            <w:tabs>
              <w:tab w:val="center" w:pos="-6946"/>
              <w:tab w:val="left" w:pos="4678"/>
              <w:tab w:val="right" w:pos="9072"/>
            </w:tabs>
            <w:jc w:val="right"/>
            <w:rPr>
              <w:rFonts w:asciiTheme="majorHAnsi" w:hAnsiTheme="majorHAnsi" w:cstheme="majorHAnsi"/>
              <w:color w:val="0C2D56"/>
              <w:sz w:val="18"/>
              <w:szCs w:val="18"/>
            </w:rPr>
          </w:pPr>
          <w:hyperlink r:id="rId3" w:history="1">
            <w:r w:rsidR="00004039" w:rsidRPr="00A40891">
              <w:rPr>
                <w:rStyle w:val="Collegamentoipertestuale"/>
                <w:rFonts w:asciiTheme="majorHAnsi" w:hAnsiTheme="majorHAnsi" w:cstheme="majorHAnsi"/>
                <w:sz w:val="18"/>
                <w:szCs w:val="18"/>
              </w:rPr>
              <w:t>info@dataforce.it</w:t>
            </w:r>
          </w:hyperlink>
          <w:r w:rsidR="00004039">
            <w:rPr>
              <w:rFonts w:asciiTheme="majorHAnsi" w:hAnsiTheme="majorHAnsi" w:cstheme="majorHAnsi"/>
              <w:color w:val="0C2D56"/>
              <w:sz w:val="18"/>
              <w:szCs w:val="18"/>
            </w:rPr>
            <w:t xml:space="preserve"> </w:t>
          </w:r>
          <w:r w:rsidR="00004039" w:rsidRPr="00004039">
            <w:rPr>
              <w:rFonts w:asciiTheme="majorHAnsi" w:hAnsiTheme="majorHAnsi" w:cstheme="majorHAnsi"/>
              <w:color w:val="0C2D56"/>
              <w:sz w:val="18"/>
              <w:szCs w:val="18"/>
            </w:rPr>
            <w:t xml:space="preserve">| </w:t>
          </w:r>
          <w:hyperlink r:id="rId4" w:history="1">
            <w:r w:rsidR="00004039" w:rsidRPr="00A40891">
              <w:rPr>
                <w:rStyle w:val="Collegamentoipertestuale"/>
                <w:rFonts w:asciiTheme="majorHAnsi" w:hAnsiTheme="majorHAnsi" w:cstheme="majorHAnsi"/>
                <w:sz w:val="18"/>
                <w:szCs w:val="18"/>
              </w:rPr>
              <w:t>https://www.dataforce.it</w:t>
            </w:r>
          </w:hyperlink>
        </w:p>
        <w:p w14:paraId="3EA38E69" w14:textId="77777777" w:rsidR="00004039" w:rsidRPr="00004039" w:rsidRDefault="00004039" w:rsidP="00004039">
          <w:pPr>
            <w:tabs>
              <w:tab w:val="center" w:pos="-6946"/>
              <w:tab w:val="left" w:pos="4678"/>
              <w:tab w:val="right" w:pos="9072"/>
            </w:tabs>
            <w:jc w:val="right"/>
            <w:rPr>
              <w:rFonts w:asciiTheme="majorHAnsi" w:hAnsiTheme="majorHAnsi" w:cstheme="majorHAnsi"/>
              <w:color w:val="0C2D56"/>
              <w:sz w:val="18"/>
              <w:szCs w:val="18"/>
            </w:rPr>
          </w:pPr>
          <w:r w:rsidRPr="00004039">
            <w:rPr>
              <w:rFonts w:asciiTheme="majorHAnsi" w:hAnsiTheme="majorHAnsi" w:cstheme="majorHAnsi"/>
              <w:color w:val="0C2D56"/>
              <w:sz w:val="18"/>
              <w:szCs w:val="18"/>
            </w:rPr>
            <w:t>C.F., P.Iva e n. iscrizione CCIAA: IT 04215370281</w:t>
          </w:r>
        </w:p>
      </w:tc>
    </w:tr>
  </w:tbl>
  <w:p w14:paraId="4C03AA25" w14:textId="77777777" w:rsidR="00C44C54" w:rsidRPr="00C44C54" w:rsidRDefault="00C44C54" w:rsidP="00004039">
    <w:pPr>
      <w:rPr>
        <w:rFonts w:asciiTheme="majorHAnsi" w:hAnsiTheme="majorHAnsi" w:cstheme="majorHAnsi"/>
        <w:bCs/>
        <w:color w:val="0C2D5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E52A" w14:textId="03F6B617" w:rsidR="00522750" w:rsidRPr="00004039" w:rsidRDefault="00004039" w:rsidP="00004039">
    <w:pPr>
      <w:pBdr>
        <w:top w:val="single" w:sz="4" w:space="1" w:color="auto"/>
      </w:pBdr>
      <w:tabs>
        <w:tab w:val="center" w:pos="-6946"/>
        <w:tab w:val="left" w:pos="4678"/>
        <w:tab w:val="right" w:pos="9072"/>
      </w:tabs>
      <w:jc w:val="center"/>
      <w:rPr>
        <w:rFonts w:asciiTheme="majorHAnsi" w:hAnsiTheme="majorHAnsi" w:cstheme="majorHAnsi"/>
        <w:color w:val="0C2D56"/>
        <w:sz w:val="18"/>
        <w:szCs w:val="18"/>
      </w:rPr>
    </w:pPr>
    <w:r w:rsidRPr="00004039">
      <w:rPr>
        <w:rFonts w:asciiTheme="majorHAnsi" w:hAnsiTheme="majorHAnsi" w:cstheme="majorHAnsi"/>
        <w:color w:val="0C2D56"/>
        <w:sz w:val="18"/>
        <w:szCs w:val="18"/>
      </w:rPr>
      <w:t>Dataforce Italia S.r.l.</w:t>
    </w:r>
    <w:r>
      <w:rPr>
        <w:rFonts w:asciiTheme="majorHAnsi" w:hAnsiTheme="majorHAnsi" w:cstheme="majorHAnsi"/>
        <w:color w:val="0C2D56"/>
        <w:sz w:val="18"/>
        <w:szCs w:val="18"/>
      </w:rPr>
      <w:t xml:space="preserve"> | </w:t>
    </w:r>
    <w:r w:rsidRPr="00004039">
      <w:rPr>
        <w:rFonts w:asciiTheme="majorHAnsi" w:hAnsiTheme="majorHAnsi" w:cstheme="majorHAnsi"/>
        <w:color w:val="0C2D56"/>
        <w:sz w:val="18"/>
        <w:szCs w:val="18"/>
      </w:rPr>
      <w:t>Piazza di Sant'Anastasia, 7 – 00186 Roma</w:t>
    </w:r>
    <w:r>
      <w:rPr>
        <w:rFonts w:asciiTheme="majorHAnsi" w:hAnsiTheme="majorHAnsi" w:cstheme="majorHAnsi"/>
        <w:color w:val="0C2D56"/>
        <w:sz w:val="18"/>
        <w:szCs w:val="18"/>
      </w:rPr>
      <w:t xml:space="preserve"> | </w:t>
    </w:r>
    <w:hyperlink r:id="rId1" w:history="1">
      <w:r w:rsidRPr="00004039">
        <w:rPr>
          <w:rStyle w:val="Collegamentoipertestuale"/>
          <w:rFonts w:asciiTheme="majorHAnsi" w:hAnsiTheme="majorHAnsi" w:cstheme="majorHAnsi"/>
          <w:sz w:val="18"/>
          <w:szCs w:val="18"/>
        </w:rPr>
        <w:t>info@dataforce.it</w:t>
      </w:r>
    </w:hyperlink>
    <w:r w:rsidRPr="00004039">
      <w:rPr>
        <w:rFonts w:asciiTheme="majorHAnsi" w:hAnsiTheme="majorHAnsi" w:cstheme="majorHAnsi"/>
        <w:color w:val="0C2D56"/>
        <w:sz w:val="18"/>
        <w:szCs w:val="18"/>
      </w:rPr>
      <w:t xml:space="preserve"> | </w:t>
    </w:r>
    <w:hyperlink r:id="rId2" w:history="1">
      <w:r w:rsidRPr="00004039">
        <w:rPr>
          <w:rStyle w:val="Collegamentoipertestuale"/>
          <w:rFonts w:asciiTheme="majorHAnsi" w:hAnsiTheme="majorHAnsi" w:cstheme="majorHAnsi"/>
          <w:sz w:val="18"/>
          <w:szCs w:val="18"/>
        </w:rPr>
        <w:t>https://www.dataforce.it</w:t>
      </w:r>
    </w:hyperlink>
    <w:r>
      <w:rPr>
        <w:rFonts w:asciiTheme="majorHAnsi" w:hAnsiTheme="majorHAnsi" w:cstheme="majorHAnsi"/>
        <w:color w:val="0C2D56"/>
        <w:sz w:val="18"/>
        <w:szCs w:val="18"/>
      </w:rPr>
      <w:t xml:space="preserve"> | </w:t>
    </w:r>
    <w:r w:rsidRPr="00004039">
      <w:rPr>
        <w:rFonts w:asciiTheme="majorHAnsi" w:hAnsiTheme="majorHAnsi" w:cstheme="majorHAnsi"/>
        <w:color w:val="0C2D56"/>
        <w:sz w:val="18"/>
        <w:szCs w:val="18"/>
      </w:rPr>
      <w:t>C.F., P.Iva 04215370281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0BC5" w14:textId="77777777" w:rsidR="00AB5DCE" w:rsidRDefault="00AB5DCE" w:rsidP="00DB6C34">
      <w:r>
        <w:separator/>
      </w:r>
    </w:p>
  </w:footnote>
  <w:footnote w:type="continuationSeparator" w:id="0">
    <w:p w14:paraId="156320A7" w14:textId="77777777" w:rsidR="00AB5DCE" w:rsidRDefault="00AB5DCE" w:rsidP="00DB6C34">
      <w:r>
        <w:continuationSeparator/>
      </w:r>
    </w:p>
  </w:footnote>
  <w:footnote w:type="continuationNotice" w:id="1">
    <w:p w14:paraId="6CDF57B4" w14:textId="77777777" w:rsidR="00AB5DCE" w:rsidRDefault="00AB5D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D679" w14:textId="5DA1C4C3" w:rsidR="00C72B34" w:rsidRDefault="008D1265" w:rsidP="00004039">
    <w:pPr>
      <w:pStyle w:val="Intestazione"/>
      <w:pBdr>
        <w:bottom w:val="single" w:sz="4" w:space="16" w:color="auto"/>
      </w:pBdr>
      <w:jc w:val="right"/>
    </w:pPr>
    <w:r>
      <w:rPr>
        <w:noProof/>
      </w:rPr>
      <w:drawing>
        <wp:anchor distT="0" distB="0" distL="114300" distR="114300" simplePos="0" relativeHeight="251658240" behindDoc="0" locked="0" layoutInCell="1" allowOverlap="1" wp14:anchorId="7154E83B" wp14:editId="04437869">
          <wp:simplePos x="0" y="0"/>
          <wp:positionH relativeFrom="margin">
            <wp:align>right</wp:align>
          </wp:positionH>
          <wp:positionV relativeFrom="paragraph">
            <wp:posOffset>-149209</wp:posOffset>
          </wp:positionV>
          <wp:extent cx="2520000" cy="363600"/>
          <wp:effectExtent l="0" t="0" r="0" b="0"/>
          <wp:wrapNone/>
          <wp:docPr id="627409605" name="Immagine 627409605">
            <a:hlinkClick xmlns:a="http://schemas.openxmlformats.org/drawingml/2006/main" r:id="rId1"/>
            <a:extLst xmlns:a="http://schemas.openxmlformats.org/drawingml/2006/main">
              <a:ext uri="{FF2B5EF4-FFF2-40B4-BE49-F238E27FC236}">
                <a16:creationId xmlns:a16="http://schemas.microsoft.com/office/drawing/2014/main" id="{DD7E240C-CB29-4BB5-8F55-99D8FDA91E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409605" name="Immagine 627409605">
                    <a:hlinkClick r:id="rId1"/>
                    <a:extLst>
                      <a:ext uri="{FF2B5EF4-FFF2-40B4-BE49-F238E27FC236}">
                        <a16:creationId xmlns:a16="http://schemas.microsoft.com/office/drawing/2014/main" id="{DD7E240C-CB29-4BB5-8F55-99D8FDA91E22}"/>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0000" cy="363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9F66E2F" wp14:editId="59BAD406">
          <wp:simplePos x="0" y="0"/>
          <wp:positionH relativeFrom="margin">
            <wp:align>left</wp:align>
          </wp:positionH>
          <wp:positionV relativeFrom="paragraph">
            <wp:posOffset>-259514</wp:posOffset>
          </wp:positionV>
          <wp:extent cx="2048400" cy="572400"/>
          <wp:effectExtent l="0" t="0" r="0" b="0"/>
          <wp:wrapNone/>
          <wp:docPr id="817804533" name="Immagine 817804533" descr="Logo Aniasa">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804533" name="Immagine 817804533" descr="Logo Aniasa">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84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7BD4" w14:textId="40F2C420" w:rsidR="00522750" w:rsidRDefault="00004039" w:rsidP="00004039">
    <w:pPr>
      <w:pStyle w:val="Intestazione"/>
      <w:pBdr>
        <w:bottom w:val="single" w:sz="4" w:space="14" w:color="auto"/>
      </w:pBdr>
      <w:tabs>
        <w:tab w:val="center" w:pos="5099"/>
        <w:tab w:val="right" w:pos="10198"/>
      </w:tabs>
    </w:pPr>
    <w:r>
      <w:tab/>
    </w:r>
    <w:r>
      <w:tab/>
    </w:r>
    <w:r w:rsidR="00522750">
      <w:rPr>
        <w:noProof/>
      </w:rPr>
      <w:drawing>
        <wp:anchor distT="0" distB="0" distL="114300" distR="114300" simplePos="0" relativeHeight="251661312" behindDoc="0" locked="0" layoutInCell="1" allowOverlap="1" wp14:anchorId="27CD246C" wp14:editId="2B6F0740">
          <wp:simplePos x="0" y="0"/>
          <wp:positionH relativeFrom="margin">
            <wp:align>right</wp:align>
          </wp:positionH>
          <wp:positionV relativeFrom="paragraph">
            <wp:posOffset>-149209</wp:posOffset>
          </wp:positionV>
          <wp:extent cx="2520000" cy="363600"/>
          <wp:effectExtent l="0" t="0" r="0" b="0"/>
          <wp:wrapNone/>
          <wp:docPr id="1295396782" name="Immagine 1295396782">
            <a:hlinkClick xmlns:a="http://schemas.openxmlformats.org/drawingml/2006/main" r:id="rId1"/>
            <a:extLst xmlns:a="http://schemas.openxmlformats.org/drawingml/2006/main">
              <a:ext uri="{FF2B5EF4-FFF2-40B4-BE49-F238E27FC236}">
                <a16:creationId xmlns:a16="http://schemas.microsoft.com/office/drawing/2014/main" id="{DD7E240C-CB29-4BB5-8F55-99D8FDA91E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396782" name="Immagine 1295396782">
                    <a:hlinkClick r:id="rId1"/>
                    <a:extLst>
                      <a:ext uri="{FF2B5EF4-FFF2-40B4-BE49-F238E27FC236}">
                        <a16:creationId xmlns:a16="http://schemas.microsoft.com/office/drawing/2014/main" id="{DD7E240C-CB29-4BB5-8F55-99D8FDA91E22}"/>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0000" cy="363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hyphenationZone w:val="283"/>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03"/>
    <w:rsid w:val="00004039"/>
    <w:rsid w:val="00007DAE"/>
    <w:rsid w:val="000120BF"/>
    <w:rsid w:val="000145B4"/>
    <w:rsid w:val="00016C47"/>
    <w:rsid w:val="00017F3A"/>
    <w:rsid w:val="00020D55"/>
    <w:rsid w:val="0002130B"/>
    <w:rsid w:val="00024C63"/>
    <w:rsid w:val="00025817"/>
    <w:rsid w:val="00025FF0"/>
    <w:rsid w:val="00026CC2"/>
    <w:rsid w:val="000345DF"/>
    <w:rsid w:val="00035005"/>
    <w:rsid w:val="00036CD7"/>
    <w:rsid w:val="00043A3E"/>
    <w:rsid w:val="0004676C"/>
    <w:rsid w:val="00051E10"/>
    <w:rsid w:val="00051E76"/>
    <w:rsid w:val="000531CF"/>
    <w:rsid w:val="000540A6"/>
    <w:rsid w:val="00054383"/>
    <w:rsid w:val="0005602A"/>
    <w:rsid w:val="0005665F"/>
    <w:rsid w:val="0006526A"/>
    <w:rsid w:val="0006681A"/>
    <w:rsid w:val="00067195"/>
    <w:rsid w:val="000738B3"/>
    <w:rsid w:val="0007510F"/>
    <w:rsid w:val="0007646D"/>
    <w:rsid w:val="00077652"/>
    <w:rsid w:val="00084A61"/>
    <w:rsid w:val="00084F87"/>
    <w:rsid w:val="00085BFB"/>
    <w:rsid w:val="000865AB"/>
    <w:rsid w:val="00090DD5"/>
    <w:rsid w:val="00093890"/>
    <w:rsid w:val="000942E5"/>
    <w:rsid w:val="00097B7E"/>
    <w:rsid w:val="000A024F"/>
    <w:rsid w:val="000A0EA3"/>
    <w:rsid w:val="000A6268"/>
    <w:rsid w:val="000B66F6"/>
    <w:rsid w:val="000B799F"/>
    <w:rsid w:val="000C00F4"/>
    <w:rsid w:val="000C2691"/>
    <w:rsid w:val="000D2C07"/>
    <w:rsid w:val="000E07CA"/>
    <w:rsid w:val="000E39BF"/>
    <w:rsid w:val="000F0CE7"/>
    <w:rsid w:val="000F10B0"/>
    <w:rsid w:val="000F382A"/>
    <w:rsid w:val="000F4C62"/>
    <w:rsid w:val="000F7987"/>
    <w:rsid w:val="0010136A"/>
    <w:rsid w:val="00103505"/>
    <w:rsid w:val="001037B3"/>
    <w:rsid w:val="0010633B"/>
    <w:rsid w:val="001068B5"/>
    <w:rsid w:val="00106C6D"/>
    <w:rsid w:val="00107029"/>
    <w:rsid w:val="00111032"/>
    <w:rsid w:val="00112437"/>
    <w:rsid w:val="00114162"/>
    <w:rsid w:val="001148C8"/>
    <w:rsid w:val="00114EFF"/>
    <w:rsid w:val="00121D25"/>
    <w:rsid w:val="001235DE"/>
    <w:rsid w:val="00124A37"/>
    <w:rsid w:val="00126B64"/>
    <w:rsid w:val="00126F04"/>
    <w:rsid w:val="00127382"/>
    <w:rsid w:val="00127DEF"/>
    <w:rsid w:val="00130E7E"/>
    <w:rsid w:val="001312D8"/>
    <w:rsid w:val="00134F42"/>
    <w:rsid w:val="0013643C"/>
    <w:rsid w:val="00140B44"/>
    <w:rsid w:val="00143A7B"/>
    <w:rsid w:val="00143D8A"/>
    <w:rsid w:val="00151692"/>
    <w:rsid w:val="001544B9"/>
    <w:rsid w:val="0015637F"/>
    <w:rsid w:val="001600DE"/>
    <w:rsid w:val="0016326E"/>
    <w:rsid w:val="001634B0"/>
    <w:rsid w:val="00164CF5"/>
    <w:rsid w:val="00166C0F"/>
    <w:rsid w:val="00167D18"/>
    <w:rsid w:val="0017058C"/>
    <w:rsid w:val="0017329B"/>
    <w:rsid w:val="00173351"/>
    <w:rsid w:val="0017457E"/>
    <w:rsid w:val="00177B56"/>
    <w:rsid w:val="00177EEC"/>
    <w:rsid w:val="0018341F"/>
    <w:rsid w:val="00183C7D"/>
    <w:rsid w:val="001863F1"/>
    <w:rsid w:val="00186F90"/>
    <w:rsid w:val="0019067B"/>
    <w:rsid w:val="00194D34"/>
    <w:rsid w:val="00196938"/>
    <w:rsid w:val="001A09C0"/>
    <w:rsid w:val="001A1499"/>
    <w:rsid w:val="001A1E5A"/>
    <w:rsid w:val="001A24D4"/>
    <w:rsid w:val="001A62EF"/>
    <w:rsid w:val="001B44D6"/>
    <w:rsid w:val="001B4ECB"/>
    <w:rsid w:val="001B51B5"/>
    <w:rsid w:val="001B78F7"/>
    <w:rsid w:val="001C0DDD"/>
    <w:rsid w:val="001C1330"/>
    <w:rsid w:val="001D1705"/>
    <w:rsid w:val="001D35D3"/>
    <w:rsid w:val="001D3FE8"/>
    <w:rsid w:val="001D4710"/>
    <w:rsid w:val="001D4B07"/>
    <w:rsid w:val="001E1641"/>
    <w:rsid w:val="001E2F69"/>
    <w:rsid w:val="001E6D7E"/>
    <w:rsid w:val="001F1825"/>
    <w:rsid w:val="001F5C61"/>
    <w:rsid w:val="001F7198"/>
    <w:rsid w:val="002017CA"/>
    <w:rsid w:val="00203DC7"/>
    <w:rsid w:val="00213BEA"/>
    <w:rsid w:val="002160C5"/>
    <w:rsid w:val="00217BF4"/>
    <w:rsid w:val="00221B7C"/>
    <w:rsid w:val="00221CDC"/>
    <w:rsid w:val="00222500"/>
    <w:rsid w:val="00224896"/>
    <w:rsid w:val="00225505"/>
    <w:rsid w:val="00225FFB"/>
    <w:rsid w:val="002306FF"/>
    <w:rsid w:val="0023073F"/>
    <w:rsid w:val="00232ECD"/>
    <w:rsid w:val="00235CC1"/>
    <w:rsid w:val="002375CE"/>
    <w:rsid w:val="00241406"/>
    <w:rsid w:val="00241F6F"/>
    <w:rsid w:val="00244ECF"/>
    <w:rsid w:val="002454D2"/>
    <w:rsid w:val="00252DE6"/>
    <w:rsid w:val="002564D9"/>
    <w:rsid w:val="0026042F"/>
    <w:rsid w:val="00261D6B"/>
    <w:rsid w:val="00262312"/>
    <w:rsid w:val="0026405A"/>
    <w:rsid w:val="00264060"/>
    <w:rsid w:val="0026518E"/>
    <w:rsid w:val="00265347"/>
    <w:rsid w:val="002719D8"/>
    <w:rsid w:val="00274661"/>
    <w:rsid w:val="002757A5"/>
    <w:rsid w:val="00280E79"/>
    <w:rsid w:val="00281A2F"/>
    <w:rsid w:val="00282808"/>
    <w:rsid w:val="002837C7"/>
    <w:rsid w:val="00283AF9"/>
    <w:rsid w:val="00285697"/>
    <w:rsid w:val="002858D4"/>
    <w:rsid w:val="00290198"/>
    <w:rsid w:val="0029075F"/>
    <w:rsid w:val="0029227E"/>
    <w:rsid w:val="00297BD1"/>
    <w:rsid w:val="002A0ACA"/>
    <w:rsid w:val="002A0C9E"/>
    <w:rsid w:val="002A1121"/>
    <w:rsid w:val="002A1577"/>
    <w:rsid w:val="002A4289"/>
    <w:rsid w:val="002A5146"/>
    <w:rsid w:val="002A55BE"/>
    <w:rsid w:val="002A5DD6"/>
    <w:rsid w:val="002A7545"/>
    <w:rsid w:val="002A7F01"/>
    <w:rsid w:val="002B0D1F"/>
    <w:rsid w:val="002B1911"/>
    <w:rsid w:val="002B3ACA"/>
    <w:rsid w:val="002B4466"/>
    <w:rsid w:val="002C18B8"/>
    <w:rsid w:val="002C19A6"/>
    <w:rsid w:val="002C1CA3"/>
    <w:rsid w:val="002C201B"/>
    <w:rsid w:val="002C4512"/>
    <w:rsid w:val="002C5A6F"/>
    <w:rsid w:val="002C60AE"/>
    <w:rsid w:val="002C6506"/>
    <w:rsid w:val="002D30F0"/>
    <w:rsid w:val="002D3D39"/>
    <w:rsid w:val="002D3DC1"/>
    <w:rsid w:val="002D7F77"/>
    <w:rsid w:val="002E467C"/>
    <w:rsid w:val="003014B5"/>
    <w:rsid w:val="00303B70"/>
    <w:rsid w:val="00303B8C"/>
    <w:rsid w:val="003041CD"/>
    <w:rsid w:val="003047A9"/>
    <w:rsid w:val="003055D4"/>
    <w:rsid w:val="00305AB2"/>
    <w:rsid w:val="00306EBA"/>
    <w:rsid w:val="0031140A"/>
    <w:rsid w:val="00316841"/>
    <w:rsid w:val="00317EC7"/>
    <w:rsid w:val="003231EF"/>
    <w:rsid w:val="00324939"/>
    <w:rsid w:val="0032709F"/>
    <w:rsid w:val="003275F5"/>
    <w:rsid w:val="00327AB2"/>
    <w:rsid w:val="00330131"/>
    <w:rsid w:val="0033029F"/>
    <w:rsid w:val="003311A2"/>
    <w:rsid w:val="0033376C"/>
    <w:rsid w:val="003370BD"/>
    <w:rsid w:val="0034040A"/>
    <w:rsid w:val="00341856"/>
    <w:rsid w:val="00341FE3"/>
    <w:rsid w:val="00343808"/>
    <w:rsid w:val="00345373"/>
    <w:rsid w:val="003471AA"/>
    <w:rsid w:val="00347485"/>
    <w:rsid w:val="00352107"/>
    <w:rsid w:val="00353927"/>
    <w:rsid w:val="003543BA"/>
    <w:rsid w:val="00354A34"/>
    <w:rsid w:val="003550D7"/>
    <w:rsid w:val="003568C3"/>
    <w:rsid w:val="00360D9A"/>
    <w:rsid w:val="0036226B"/>
    <w:rsid w:val="00363008"/>
    <w:rsid w:val="00365E2D"/>
    <w:rsid w:val="00372179"/>
    <w:rsid w:val="0037358E"/>
    <w:rsid w:val="003764D1"/>
    <w:rsid w:val="00377CAF"/>
    <w:rsid w:val="0038131B"/>
    <w:rsid w:val="00381680"/>
    <w:rsid w:val="003828EA"/>
    <w:rsid w:val="00384837"/>
    <w:rsid w:val="00386484"/>
    <w:rsid w:val="00387A37"/>
    <w:rsid w:val="00391F3A"/>
    <w:rsid w:val="003936DC"/>
    <w:rsid w:val="00396E3E"/>
    <w:rsid w:val="00397949"/>
    <w:rsid w:val="003A04CA"/>
    <w:rsid w:val="003A796C"/>
    <w:rsid w:val="003B17CB"/>
    <w:rsid w:val="003B19B9"/>
    <w:rsid w:val="003B2781"/>
    <w:rsid w:val="003B3272"/>
    <w:rsid w:val="003B45C3"/>
    <w:rsid w:val="003C266D"/>
    <w:rsid w:val="003C3EC0"/>
    <w:rsid w:val="003C781C"/>
    <w:rsid w:val="003D0675"/>
    <w:rsid w:val="003D15D3"/>
    <w:rsid w:val="003D419A"/>
    <w:rsid w:val="003D7B8E"/>
    <w:rsid w:val="003E25D4"/>
    <w:rsid w:val="003E34C6"/>
    <w:rsid w:val="003E384C"/>
    <w:rsid w:val="003E3BC1"/>
    <w:rsid w:val="003E3BE0"/>
    <w:rsid w:val="003E3E59"/>
    <w:rsid w:val="003E42C4"/>
    <w:rsid w:val="003F0980"/>
    <w:rsid w:val="003F1364"/>
    <w:rsid w:val="003F407A"/>
    <w:rsid w:val="00400A5A"/>
    <w:rsid w:val="00402E96"/>
    <w:rsid w:val="00403CF3"/>
    <w:rsid w:val="00405DEC"/>
    <w:rsid w:val="00405E61"/>
    <w:rsid w:val="00406445"/>
    <w:rsid w:val="00412928"/>
    <w:rsid w:val="0041337E"/>
    <w:rsid w:val="00413EC9"/>
    <w:rsid w:val="004162DD"/>
    <w:rsid w:val="00416775"/>
    <w:rsid w:val="00417010"/>
    <w:rsid w:val="00417FA3"/>
    <w:rsid w:val="00421EC9"/>
    <w:rsid w:val="00424608"/>
    <w:rsid w:val="0042536F"/>
    <w:rsid w:val="0043238A"/>
    <w:rsid w:val="004323A3"/>
    <w:rsid w:val="00435BAF"/>
    <w:rsid w:val="00440F5D"/>
    <w:rsid w:val="00442A79"/>
    <w:rsid w:val="004431DE"/>
    <w:rsid w:val="00446C22"/>
    <w:rsid w:val="00447D40"/>
    <w:rsid w:val="004514DE"/>
    <w:rsid w:val="004520AA"/>
    <w:rsid w:val="0045346C"/>
    <w:rsid w:val="004542BC"/>
    <w:rsid w:val="00454817"/>
    <w:rsid w:val="00470B19"/>
    <w:rsid w:val="004713CC"/>
    <w:rsid w:val="00472E0A"/>
    <w:rsid w:val="00475D09"/>
    <w:rsid w:val="004774F4"/>
    <w:rsid w:val="00482A04"/>
    <w:rsid w:val="004857A5"/>
    <w:rsid w:val="00487317"/>
    <w:rsid w:val="0048757F"/>
    <w:rsid w:val="004913D5"/>
    <w:rsid w:val="00493EB1"/>
    <w:rsid w:val="0049657D"/>
    <w:rsid w:val="00496F96"/>
    <w:rsid w:val="00497D64"/>
    <w:rsid w:val="004A753B"/>
    <w:rsid w:val="004B0A14"/>
    <w:rsid w:val="004B29C1"/>
    <w:rsid w:val="004B4022"/>
    <w:rsid w:val="004B5265"/>
    <w:rsid w:val="004B5645"/>
    <w:rsid w:val="004B5E54"/>
    <w:rsid w:val="004B61F5"/>
    <w:rsid w:val="004B6932"/>
    <w:rsid w:val="004B7D62"/>
    <w:rsid w:val="004C09C9"/>
    <w:rsid w:val="004C2AC3"/>
    <w:rsid w:val="004C3186"/>
    <w:rsid w:val="004C3292"/>
    <w:rsid w:val="004C344A"/>
    <w:rsid w:val="004C63F0"/>
    <w:rsid w:val="004C6BF4"/>
    <w:rsid w:val="004C6D27"/>
    <w:rsid w:val="004C7970"/>
    <w:rsid w:val="004D57DF"/>
    <w:rsid w:val="004D5CF3"/>
    <w:rsid w:val="004D723D"/>
    <w:rsid w:val="004D74CC"/>
    <w:rsid w:val="004E2CCD"/>
    <w:rsid w:val="004E3C3E"/>
    <w:rsid w:val="004E5E00"/>
    <w:rsid w:val="004F02CC"/>
    <w:rsid w:val="004F3503"/>
    <w:rsid w:val="004F3FD3"/>
    <w:rsid w:val="004F47A2"/>
    <w:rsid w:val="004F5E8A"/>
    <w:rsid w:val="005021CF"/>
    <w:rsid w:val="00502C7B"/>
    <w:rsid w:val="00505D6C"/>
    <w:rsid w:val="0051026C"/>
    <w:rsid w:val="00511BAB"/>
    <w:rsid w:val="0051269E"/>
    <w:rsid w:val="005127C0"/>
    <w:rsid w:val="00515B1F"/>
    <w:rsid w:val="00516F5D"/>
    <w:rsid w:val="00520433"/>
    <w:rsid w:val="005207D0"/>
    <w:rsid w:val="00520835"/>
    <w:rsid w:val="005208B6"/>
    <w:rsid w:val="00522750"/>
    <w:rsid w:val="00522D99"/>
    <w:rsid w:val="00532596"/>
    <w:rsid w:val="0053538E"/>
    <w:rsid w:val="005356C8"/>
    <w:rsid w:val="00536156"/>
    <w:rsid w:val="00540EED"/>
    <w:rsid w:val="00550A53"/>
    <w:rsid w:val="00551B4C"/>
    <w:rsid w:val="00551EA8"/>
    <w:rsid w:val="005521FA"/>
    <w:rsid w:val="00552B2F"/>
    <w:rsid w:val="00553FA2"/>
    <w:rsid w:val="005554A2"/>
    <w:rsid w:val="005558C0"/>
    <w:rsid w:val="00560A88"/>
    <w:rsid w:val="0056183A"/>
    <w:rsid w:val="0057665E"/>
    <w:rsid w:val="00577B96"/>
    <w:rsid w:val="00577E45"/>
    <w:rsid w:val="00584FEC"/>
    <w:rsid w:val="00587831"/>
    <w:rsid w:val="00591A4F"/>
    <w:rsid w:val="005928BB"/>
    <w:rsid w:val="00594849"/>
    <w:rsid w:val="00595DE6"/>
    <w:rsid w:val="005963A4"/>
    <w:rsid w:val="005A03B5"/>
    <w:rsid w:val="005A09B4"/>
    <w:rsid w:val="005A2F0A"/>
    <w:rsid w:val="005A6320"/>
    <w:rsid w:val="005B3F21"/>
    <w:rsid w:val="005C5C67"/>
    <w:rsid w:val="005C7B85"/>
    <w:rsid w:val="005D13C3"/>
    <w:rsid w:val="005D491C"/>
    <w:rsid w:val="005D4F5D"/>
    <w:rsid w:val="005D6804"/>
    <w:rsid w:val="005E0BBD"/>
    <w:rsid w:val="005E1B1F"/>
    <w:rsid w:val="005E3595"/>
    <w:rsid w:val="005F203C"/>
    <w:rsid w:val="005F2235"/>
    <w:rsid w:val="005F27C6"/>
    <w:rsid w:val="005F3202"/>
    <w:rsid w:val="005F54A3"/>
    <w:rsid w:val="005F5B51"/>
    <w:rsid w:val="005F6900"/>
    <w:rsid w:val="006008F9"/>
    <w:rsid w:val="00600FE0"/>
    <w:rsid w:val="006025AC"/>
    <w:rsid w:val="006064E3"/>
    <w:rsid w:val="0061279E"/>
    <w:rsid w:val="00612F26"/>
    <w:rsid w:val="00616F81"/>
    <w:rsid w:val="00620056"/>
    <w:rsid w:val="00621D41"/>
    <w:rsid w:val="00622DC0"/>
    <w:rsid w:val="00625879"/>
    <w:rsid w:val="006260CC"/>
    <w:rsid w:val="00626618"/>
    <w:rsid w:val="00626C92"/>
    <w:rsid w:val="006271EA"/>
    <w:rsid w:val="00627A48"/>
    <w:rsid w:val="00630FF7"/>
    <w:rsid w:val="006320C4"/>
    <w:rsid w:val="00632AD6"/>
    <w:rsid w:val="00645141"/>
    <w:rsid w:val="006469A6"/>
    <w:rsid w:val="00651939"/>
    <w:rsid w:val="00652097"/>
    <w:rsid w:val="00654129"/>
    <w:rsid w:val="00656EBD"/>
    <w:rsid w:val="006618BA"/>
    <w:rsid w:val="0066476F"/>
    <w:rsid w:val="00666F68"/>
    <w:rsid w:val="0066768E"/>
    <w:rsid w:val="00674596"/>
    <w:rsid w:val="00677558"/>
    <w:rsid w:val="0067786E"/>
    <w:rsid w:val="00680602"/>
    <w:rsid w:val="00681CC8"/>
    <w:rsid w:val="0068395C"/>
    <w:rsid w:val="00683D6C"/>
    <w:rsid w:val="006900A2"/>
    <w:rsid w:val="006902AB"/>
    <w:rsid w:val="00692A35"/>
    <w:rsid w:val="00695056"/>
    <w:rsid w:val="0069525A"/>
    <w:rsid w:val="00695886"/>
    <w:rsid w:val="00695BD3"/>
    <w:rsid w:val="006A1A07"/>
    <w:rsid w:val="006A1F40"/>
    <w:rsid w:val="006A4A3E"/>
    <w:rsid w:val="006A7CAD"/>
    <w:rsid w:val="006B544A"/>
    <w:rsid w:val="006C052E"/>
    <w:rsid w:val="006C1897"/>
    <w:rsid w:val="006C35B8"/>
    <w:rsid w:val="006C4B3A"/>
    <w:rsid w:val="006C71DD"/>
    <w:rsid w:val="006C7D91"/>
    <w:rsid w:val="006D1D2B"/>
    <w:rsid w:val="006D21EA"/>
    <w:rsid w:val="006D28A8"/>
    <w:rsid w:val="006D6EBD"/>
    <w:rsid w:val="006E0848"/>
    <w:rsid w:val="006E17EC"/>
    <w:rsid w:val="006E35A8"/>
    <w:rsid w:val="006E5473"/>
    <w:rsid w:val="006E71BA"/>
    <w:rsid w:val="006E74D3"/>
    <w:rsid w:val="006F37B0"/>
    <w:rsid w:val="006F5418"/>
    <w:rsid w:val="006F650D"/>
    <w:rsid w:val="007013F0"/>
    <w:rsid w:val="00702262"/>
    <w:rsid w:val="0070259A"/>
    <w:rsid w:val="007025E1"/>
    <w:rsid w:val="00703B67"/>
    <w:rsid w:val="00706DB5"/>
    <w:rsid w:val="00726ACF"/>
    <w:rsid w:val="007313D0"/>
    <w:rsid w:val="007328B5"/>
    <w:rsid w:val="00735876"/>
    <w:rsid w:val="00736B81"/>
    <w:rsid w:val="00737DDA"/>
    <w:rsid w:val="00742658"/>
    <w:rsid w:val="007442BB"/>
    <w:rsid w:val="00744B17"/>
    <w:rsid w:val="007539E6"/>
    <w:rsid w:val="00755340"/>
    <w:rsid w:val="00757211"/>
    <w:rsid w:val="0076114E"/>
    <w:rsid w:val="00763159"/>
    <w:rsid w:val="0076380F"/>
    <w:rsid w:val="007678C0"/>
    <w:rsid w:val="00770D47"/>
    <w:rsid w:val="0077309C"/>
    <w:rsid w:val="00773D40"/>
    <w:rsid w:val="00783234"/>
    <w:rsid w:val="00783AAA"/>
    <w:rsid w:val="0078549E"/>
    <w:rsid w:val="00786704"/>
    <w:rsid w:val="007871D4"/>
    <w:rsid w:val="00790AEE"/>
    <w:rsid w:val="00791FEE"/>
    <w:rsid w:val="00793CAD"/>
    <w:rsid w:val="00797C17"/>
    <w:rsid w:val="007A07AE"/>
    <w:rsid w:val="007A4BC1"/>
    <w:rsid w:val="007A6892"/>
    <w:rsid w:val="007A6EAB"/>
    <w:rsid w:val="007B1CEA"/>
    <w:rsid w:val="007B5B72"/>
    <w:rsid w:val="007B7393"/>
    <w:rsid w:val="007B7AEF"/>
    <w:rsid w:val="007D0612"/>
    <w:rsid w:val="007D14D4"/>
    <w:rsid w:val="007D1690"/>
    <w:rsid w:val="007D342D"/>
    <w:rsid w:val="007D349C"/>
    <w:rsid w:val="007D494D"/>
    <w:rsid w:val="007D57A8"/>
    <w:rsid w:val="007D7D3D"/>
    <w:rsid w:val="007D7E73"/>
    <w:rsid w:val="007E0244"/>
    <w:rsid w:val="007E241B"/>
    <w:rsid w:val="007E3DB5"/>
    <w:rsid w:val="007E4120"/>
    <w:rsid w:val="007E5354"/>
    <w:rsid w:val="007E54F8"/>
    <w:rsid w:val="007F5C42"/>
    <w:rsid w:val="007F66DD"/>
    <w:rsid w:val="007F6C6B"/>
    <w:rsid w:val="00802BA5"/>
    <w:rsid w:val="008035CB"/>
    <w:rsid w:val="00804C70"/>
    <w:rsid w:val="00805433"/>
    <w:rsid w:val="00805CE1"/>
    <w:rsid w:val="00810814"/>
    <w:rsid w:val="008120E3"/>
    <w:rsid w:val="00812FDF"/>
    <w:rsid w:val="00813281"/>
    <w:rsid w:val="00820109"/>
    <w:rsid w:val="00824A25"/>
    <w:rsid w:val="00834241"/>
    <w:rsid w:val="008357D4"/>
    <w:rsid w:val="00835AA8"/>
    <w:rsid w:val="00835B2A"/>
    <w:rsid w:val="00836AA8"/>
    <w:rsid w:val="00837B5A"/>
    <w:rsid w:val="00837DE5"/>
    <w:rsid w:val="00842E19"/>
    <w:rsid w:val="0084455E"/>
    <w:rsid w:val="00846B90"/>
    <w:rsid w:val="00851B29"/>
    <w:rsid w:val="00854323"/>
    <w:rsid w:val="00855419"/>
    <w:rsid w:val="008561C1"/>
    <w:rsid w:val="00856776"/>
    <w:rsid w:val="008611B1"/>
    <w:rsid w:val="0086293B"/>
    <w:rsid w:val="008658B8"/>
    <w:rsid w:val="00865F03"/>
    <w:rsid w:val="00867411"/>
    <w:rsid w:val="00870099"/>
    <w:rsid w:val="00877865"/>
    <w:rsid w:val="008812EE"/>
    <w:rsid w:val="008825C3"/>
    <w:rsid w:val="008826B9"/>
    <w:rsid w:val="00882A58"/>
    <w:rsid w:val="00883FEF"/>
    <w:rsid w:val="008913B2"/>
    <w:rsid w:val="00892F20"/>
    <w:rsid w:val="00893BC3"/>
    <w:rsid w:val="0089425B"/>
    <w:rsid w:val="008A0ACF"/>
    <w:rsid w:val="008A0E1E"/>
    <w:rsid w:val="008A1B87"/>
    <w:rsid w:val="008A2181"/>
    <w:rsid w:val="008A330F"/>
    <w:rsid w:val="008A6B9D"/>
    <w:rsid w:val="008B109E"/>
    <w:rsid w:val="008B26F8"/>
    <w:rsid w:val="008B437F"/>
    <w:rsid w:val="008B5554"/>
    <w:rsid w:val="008B7C25"/>
    <w:rsid w:val="008C2503"/>
    <w:rsid w:val="008C4174"/>
    <w:rsid w:val="008C4765"/>
    <w:rsid w:val="008D01F5"/>
    <w:rsid w:val="008D1265"/>
    <w:rsid w:val="008D39D1"/>
    <w:rsid w:val="008D3DFB"/>
    <w:rsid w:val="008D5211"/>
    <w:rsid w:val="008D523A"/>
    <w:rsid w:val="008D601D"/>
    <w:rsid w:val="008D7F32"/>
    <w:rsid w:val="008E08CF"/>
    <w:rsid w:val="008E1235"/>
    <w:rsid w:val="008E1FAF"/>
    <w:rsid w:val="008E7589"/>
    <w:rsid w:val="008F101A"/>
    <w:rsid w:val="008F2359"/>
    <w:rsid w:val="008F3E97"/>
    <w:rsid w:val="008F4AF2"/>
    <w:rsid w:val="008F4CED"/>
    <w:rsid w:val="008F69E4"/>
    <w:rsid w:val="0090380E"/>
    <w:rsid w:val="00903F5B"/>
    <w:rsid w:val="0090580E"/>
    <w:rsid w:val="009059E5"/>
    <w:rsid w:val="00905C53"/>
    <w:rsid w:val="009064E8"/>
    <w:rsid w:val="0091328C"/>
    <w:rsid w:val="00913DB6"/>
    <w:rsid w:val="00914607"/>
    <w:rsid w:val="00914F12"/>
    <w:rsid w:val="00917CAA"/>
    <w:rsid w:val="00917E33"/>
    <w:rsid w:val="0092045E"/>
    <w:rsid w:val="00921540"/>
    <w:rsid w:val="009225FE"/>
    <w:rsid w:val="00925F6F"/>
    <w:rsid w:val="00931465"/>
    <w:rsid w:val="009347E8"/>
    <w:rsid w:val="00934E18"/>
    <w:rsid w:val="00935BD0"/>
    <w:rsid w:val="0094112E"/>
    <w:rsid w:val="00946BBE"/>
    <w:rsid w:val="00946E98"/>
    <w:rsid w:val="009501FF"/>
    <w:rsid w:val="00952DA0"/>
    <w:rsid w:val="00962930"/>
    <w:rsid w:val="009650D7"/>
    <w:rsid w:val="0097221B"/>
    <w:rsid w:val="0097519D"/>
    <w:rsid w:val="0097614A"/>
    <w:rsid w:val="00976778"/>
    <w:rsid w:val="009813EF"/>
    <w:rsid w:val="00982CD8"/>
    <w:rsid w:val="00983F73"/>
    <w:rsid w:val="009844BD"/>
    <w:rsid w:val="00984A55"/>
    <w:rsid w:val="00984C26"/>
    <w:rsid w:val="00986311"/>
    <w:rsid w:val="0098716B"/>
    <w:rsid w:val="00991CA6"/>
    <w:rsid w:val="00996030"/>
    <w:rsid w:val="00996875"/>
    <w:rsid w:val="00997AA8"/>
    <w:rsid w:val="009A0660"/>
    <w:rsid w:val="009A1C2F"/>
    <w:rsid w:val="009A4AF9"/>
    <w:rsid w:val="009A6300"/>
    <w:rsid w:val="009A682D"/>
    <w:rsid w:val="009A759E"/>
    <w:rsid w:val="009B3819"/>
    <w:rsid w:val="009B4513"/>
    <w:rsid w:val="009B6F9B"/>
    <w:rsid w:val="009C4D9A"/>
    <w:rsid w:val="009D0174"/>
    <w:rsid w:val="009D1152"/>
    <w:rsid w:val="009D20EB"/>
    <w:rsid w:val="009D238F"/>
    <w:rsid w:val="009D3656"/>
    <w:rsid w:val="009D4A11"/>
    <w:rsid w:val="009D713F"/>
    <w:rsid w:val="009D72AE"/>
    <w:rsid w:val="009E05E1"/>
    <w:rsid w:val="009E140B"/>
    <w:rsid w:val="009E1FB9"/>
    <w:rsid w:val="009E2568"/>
    <w:rsid w:val="009E44BA"/>
    <w:rsid w:val="009E64F4"/>
    <w:rsid w:val="009F4564"/>
    <w:rsid w:val="00A0171F"/>
    <w:rsid w:val="00A07F85"/>
    <w:rsid w:val="00A104A3"/>
    <w:rsid w:val="00A10776"/>
    <w:rsid w:val="00A10D70"/>
    <w:rsid w:val="00A12388"/>
    <w:rsid w:val="00A12EE3"/>
    <w:rsid w:val="00A1688D"/>
    <w:rsid w:val="00A17302"/>
    <w:rsid w:val="00A200AF"/>
    <w:rsid w:val="00A26BC1"/>
    <w:rsid w:val="00A307E3"/>
    <w:rsid w:val="00A33ED2"/>
    <w:rsid w:val="00A34278"/>
    <w:rsid w:val="00A345D0"/>
    <w:rsid w:val="00A364C1"/>
    <w:rsid w:val="00A375FE"/>
    <w:rsid w:val="00A426CC"/>
    <w:rsid w:val="00A4312E"/>
    <w:rsid w:val="00A44BAB"/>
    <w:rsid w:val="00A46125"/>
    <w:rsid w:val="00A466CE"/>
    <w:rsid w:val="00A506B0"/>
    <w:rsid w:val="00A52528"/>
    <w:rsid w:val="00A55970"/>
    <w:rsid w:val="00A614C6"/>
    <w:rsid w:val="00A6205E"/>
    <w:rsid w:val="00A6256F"/>
    <w:rsid w:val="00A6635D"/>
    <w:rsid w:val="00A668EB"/>
    <w:rsid w:val="00A70160"/>
    <w:rsid w:val="00A71137"/>
    <w:rsid w:val="00A71515"/>
    <w:rsid w:val="00A72083"/>
    <w:rsid w:val="00A8076E"/>
    <w:rsid w:val="00A807FF"/>
    <w:rsid w:val="00A81D67"/>
    <w:rsid w:val="00A82639"/>
    <w:rsid w:val="00A86697"/>
    <w:rsid w:val="00A90ECA"/>
    <w:rsid w:val="00A91080"/>
    <w:rsid w:val="00A91AF7"/>
    <w:rsid w:val="00A95443"/>
    <w:rsid w:val="00AA16F7"/>
    <w:rsid w:val="00AA2560"/>
    <w:rsid w:val="00AA345D"/>
    <w:rsid w:val="00AA5DC6"/>
    <w:rsid w:val="00AA762C"/>
    <w:rsid w:val="00AB2026"/>
    <w:rsid w:val="00AB2760"/>
    <w:rsid w:val="00AB2D43"/>
    <w:rsid w:val="00AB4FD9"/>
    <w:rsid w:val="00AB5AD2"/>
    <w:rsid w:val="00AB5DCE"/>
    <w:rsid w:val="00AB5DF1"/>
    <w:rsid w:val="00AC3406"/>
    <w:rsid w:val="00AC5351"/>
    <w:rsid w:val="00AD1018"/>
    <w:rsid w:val="00AD19A1"/>
    <w:rsid w:val="00AD5964"/>
    <w:rsid w:val="00AD7C12"/>
    <w:rsid w:val="00AE2539"/>
    <w:rsid w:val="00AE2EB3"/>
    <w:rsid w:val="00AE6F0F"/>
    <w:rsid w:val="00AF2134"/>
    <w:rsid w:val="00AF319A"/>
    <w:rsid w:val="00B02E7A"/>
    <w:rsid w:val="00B038CB"/>
    <w:rsid w:val="00B058E3"/>
    <w:rsid w:val="00B05B53"/>
    <w:rsid w:val="00B1290E"/>
    <w:rsid w:val="00B13DCD"/>
    <w:rsid w:val="00B140D5"/>
    <w:rsid w:val="00B16ACE"/>
    <w:rsid w:val="00B16CC9"/>
    <w:rsid w:val="00B204DA"/>
    <w:rsid w:val="00B20B9F"/>
    <w:rsid w:val="00B2178C"/>
    <w:rsid w:val="00B21E78"/>
    <w:rsid w:val="00B22556"/>
    <w:rsid w:val="00B2448D"/>
    <w:rsid w:val="00B26057"/>
    <w:rsid w:val="00B267E4"/>
    <w:rsid w:val="00B303A0"/>
    <w:rsid w:val="00B3255D"/>
    <w:rsid w:val="00B3556B"/>
    <w:rsid w:val="00B3680E"/>
    <w:rsid w:val="00B37A74"/>
    <w:rsid w:val="00B406C0"/>
    <w:rsid w:val="00B408F5"/>
    <w:rsid w:val="00B418A4"/>
    <w:rsid w:val="00B41C3C"/>
    <w:rsid w:val="00B41E42"/>
    <w:rsid w:val="00B43084"/>
    <w:rsid w:val="00B46EE7"/>
    <w:rsid w:val="00B47934"/>
    <w:rsid w:val="00B5065A"/>
    <w:rsid w:val="00B50BE9"/>
    <w:rsid w:val="00B51B46"/>
    <w:rsid w:val="00B547D2"/>
    <w:rsid w:val="00B557A5"/>
    <w:rsid w:val="00B55E1C"/>
    <w:rsid w:val="00B5680E"/>
    <w:rsid w:val="00B62CD9"/>
    <w:rsid w:val="00B63FE0"/>
    <w:rsid w:val="00B65608"/>
    <w:rsid w:val="00B72DEE"/>
    <w:rsid w:val="00B73079"/>
    <w:rsid w:val="00B7523F"/>
    <w:rsid w:val="00B80EED"/>
    <w:rsid w:val="00B85C00"/>
    <w:rsid w:val="00B86C83"/>
    <w:rsid w:val="00B91FEA"/>
    <w:rsid w:val="00B954D1"/>
    <w:rsid w:val="00BA0749"/>
    <w:rsid w:val="00BA5A7E"/>
    <w:rsid w:val="00BA5F93"/>
    <w:rsid w:val="00BB1AB4"/>
    <w:rsid w:val="00BB2282"/>
    <w:rsid w:val="00BB2B29"/>
    <w:rsid w:val="00BB35FE"/>
    <w:rsid w:val="00BB4BE9"/>
    <w:rsid w:val="00BB5078"/>
    <w:rsid w:val="00BB516B"/>
    <w:rsid w:val="00BC07E1"/>
    <w:rsid w:val="00BC11F7"/>
    <w:rsid w:val="00BC172B"/>
    <w:rsid w:val="00BC3DD3"/>
    <w:rsid w:val="00BC5103"/>
    <w:rsid w:val="00BC7538"/>
    <w:rsid w:val="00BC790C"/>
    <w:rsid w:val="00BD2405"/>
    <w:rsid w:val="00BD6A34"/>
    <w:rsid w:val="00BE4D3F"/>
    <w:rsid w:val="00BF0FDE"/>
    <w:rsid w:val="00BF152D"/>
    <w:rsid w:val="00BF2E55"/>
    <w:rsid w:val="00BF5175"/>
    <w:rsid w:val="00BF5E29"/>
    <w:rsid w:val="00BF65C0"/>
    <w:rsid w:val="00BF77AB"/>
    <w:rsid w:val="00BF7B29"/>
    <w:rsid w:val="00C026D6"/>
    <w:rsid w:val="00C02F00"/>
    <w:rsid w:val="00C033CE"/>
    <w:rsid w:val="00C036E5"/>
    <w:rsid w:val="00C05F8F"/>
    <w:rsid w:val="00C0626D"/>
    <w:rsid w:val="00C06FF5"/>
    <w:rsid w:val="00C078A6"/>
    <w:rsid w:val="00C07EC1"/>
    <w:rsid w:val="00C10DFE"/>
    <w:rsid w:val="00C11156"/>
    <w:rsid w:val="00C1189D"/>
    <w:rsid w:val="00C1241A"/>
    <w:rsid w:val="00C13103"/>
    <w:rsid w:val="00C145DC"/>
    <w:rsid w:val="00C17EC4"/>
    <w:rsid w:val="00C20BE4"/>
    <w:rsid w:val="00C212F8"/>
    <w:rsid w:val="00C22BE0"/>
    <w:rsid w:val="00C25F16"/>
    <w:rsid w:val="00C270F2"/>
    <w:rsid w:val="00C32BE7"/>
    <w:rsid w:val="00C3326A"/>
    <w:rsid w:val="00C355EB"/>
    <w:rsid w:val="00C35DFC"/>
    <w:rsid w:val="00C37D88"/>
    <w:rsid w:val="00C41656"/>
    <w:rsid w:val="00C41FDD"/>
    <w:rsid w:val="00C42463"/>
    <w:rsid w:val="00C42A79"/>
    <w:rsid w:val="00C44C54"/>
    <w:rsid w:val="00C45463"/>
    <w:rsid w:val="00C45552"/>
    <w:rsid w:val="00C466FA"/>
    <w:rsid w:val="00C47F12"/>
    <w:rsid w:val="00C52FEE"/>
    <w:rsid w:val="00C56445"/>
    <w:rsid w:val="00C5711E"/>
    <w:rsid w:val="00C60A47"/>
    <w:rsid w:val="00C63D64"/>
    <w:rsid w:val="00C645A5"/>
    <w:rsid w:val="00C646AC"/>
    <w:rsid w:val="00C71FA8"/>
    <w:rsid w:val="00C7222F"/>
    <w:rsid w:val="00C7250E"/>
    <w:rsid w:val="00C72B34"/>
    <w:rsid w:val="00C72F4B"/>
    <w:rsid w:val="00C73F9D"/>
    <w:rsid w:val="00C81F52"/>
    <w:rsid w:val="00C833EE"/>
    <w:rsid w:val="00C83C36"/>
    <w:rsid w:val="00C84116"/>
    <w:rsid w:val="00C847EF"/>
    <w:rsid w:val="00C84D61"/>
    <w:rsid w:val="00C9247C"/>
    <w:rsid w:val="00C92E66"/>
    <w:rsid w:val="00C95274"/>
    <w:rsid w:val="00C95D27"/>
    <w:rsid w:val="00C95FB1"/>
    <w:rsid w:val="00C96078"/>
    <w:rsid w:val="00C974F7"/>
    <w:rsid w:val="00CA1798"/>
    <w:rsid w:val="00CA24E8"/>
    <w:rsid w:val="00CA3E72"/>
    <w:rsid w:val="00CA4DA2"/>
    <w:rsid w:val="00CA6489"/>
    <w:rsid w:val="00CB17CD"/>
    <w:rsid w:val="00CC1D89"/>
    <w:rsid w:val="00CC2D5E"/>
    <w:rsid w:val="00CC4425"/>
    <w:rsid w:val="00CC458E"/>
    <w:rsid w:val="00CC47D9"/>
    <w:rsid w:val="00CC4A1B"/>
    <w:rsid w:val="00CD0003"/>
    <w:rsid w:val="00CD12AA"/>
    <w:rsid w:val="00CD19D6"/>
    <w:rsid w:val="00CD1B2D"/>
    <w:rsid w:val="00CD1DAA"/>
    <w:rsid w:val="00CD25A6"/>
    <w:rsid w:val="00CD5AAC"/>
    <w:rsid w:val="00CD6F76"/>
    <w:rsid w:val="00CE37A2"/>
    <w:rsid w:val="00CE37D0"/>
    <w:rsid w:val="00CE4927"/>
    <w:rsid w:val="00CE5791"/>
    <w:rsid w:val="00CE5835"/>
    <w:rsid w:val="00CE7A09"/>
    <w:rsid w:val="00CE7FD2"/>
    <w:rsid w:val="00CF03DC"/>
    <w:rsid w:val="00CF3A0B"/>
    <w:rsid w:val="00CF71DC"/>
    <w:rsid w:val="00D01C63"/>
    <w:rsid w:val="00D01C85"/>
    <w:rsid w:val="00D0268E"/>
    <w:rsid w:val="00D02FE0"/>
    <w:rsid w:val="00D0479E"/>
    <w:rsid w:val="00D076CA"/>
    <w:rsid w:val="00D11F53"/>
    <w:rsid w:val="00D127F6"/>
    <w:rsid w:val="00D137CA"/>
    <w:rsid w:val="00D13D7B"/>
    <w:rsid w:val="00D14157"/>
    <w:rsid w:val="00D14986"/>
    <w:rsid w:val="00D14E3D"/>
    <w:rsid w:val="00D164BD"/>
    <w:rsid w:val="00D17862"/>
    <w:rsid w:val="00D210AF"/>
    <w:rsid w:val="00D21EEA"/>
    <w:rsid w:val="00D226F2"/>
    <w:rsid w:val="00D23B13"/>
    <w:rsid w:val="00D342F9"/>
    <w:rsid w:val="00D34581"/>
    <w:rsid w:val="00D34A85"/>
    <w:rsid w:val="00D36701"/>
    <w:rsid w:val="00D37A6F"/>
    <w:rsid w:val="00D43EF2"/>
    <w:rsid w:val="00D44D3A"/>
    <w:rsid w:val="00D4532E"/>
    <w:rsid w:val="00D45432"/>
    <w:rsid w:val="00D455C2"/>
    <w:rsid w:val="00D51906"/>
    <w:rsid w:val="00D534F1"/>
    <w:rsid w:val="00D56F82"/>
    <w:rsid w:val="00D5707E"/>
    <w:rsid w:val="00D6066E"/>
    <w:rsid w:val="00D609F5"/>
    <w:rsid w:val="00D615B2"/>
    <w:rsid w:val="00D61A58"/>
    <w:rsid w:val="00D635B0"/>
    <w:rsid w:val="00D664DA"/>
    <w:rsid w:val="00D72825"/>
    <w:rsid w:val="00D72897"/>
    <w:rsid w:val="00D73C06"/>
    <w:rsid w:val="00D76750"/>
    <w:rsid w:val="00D81071"/>
    <w:rsid w:val="00D84A83"/>
    <w:rsid w:val="00D85466"/>
    <w:rsid w:val="00D87179"/>
    <w:rsid w:val="00D874EA"/>
    <w:rsid w:val="00D93735"/>
    <w:rsid w:val="00DA0F58"/>
    <w:rsid w:val="00DA1556"/>
    <w:rsid w:val="00DA4EF1"/>
    <w:rsid w:val="00DB0167"/>
    <w:rsid w:val="00DB083D"/>
    <w:rsid w:val="00DB296F"/>
    <w:rsid w:val="00DB4083"/>
    <w:rsid w:val="00DB5CE7"/>
    <w:rsid w:val="00DB69E4"/>
    <w:rsid w:val="00DB6C34"/>
    <w:rsid w:val="00DB70D6"/>
    <w:rsid w:val="00DC0A29"/>
    <w:rsid w:val="00DC3947"/>
    <w:rsid w:val="00DC6E20"/>
    <w:rsid w:val="00DD0F6B"/>
    <w:rsid w:val="00DD19A3"/>
    <w:rsid w:val="00DD2D37"/>
    <w:rsid w:val="00DD6700"/>
    <w:rsid w:val="00DD78D5"/>
    <w:rsid w:val="00DD7DD1"/>
    <w:rsid w:val="00DE009A"/>
    <w:rsid w:val="00DE034B"/>
    <w:rsid w:val="00DE21FC"/>
    <w:rsid w:val="00DE27B2"/>
    <w:rsid w:val="00DE2CE7"/>
    <w:rsid w:val="00DE3A6D"/>
    <w:rsid w:val="00DE6C30"/>
    <w:rsid w:val="00DE7D9E"/>
    <w:rsid w:val="00DE7FA6"/>
    <w:rsid w:val="00DF3D73"/>
    <w:rsid w:val="00DF3F59"/>
    <w:rsid w:val="00DF44A3"/>
    <w:rsid w:val="00DF6418"/>
    <w:rsid w:val="00DF6AAC"/>
    <w:rsid w:val="00DF7A8F"/>
    <w:rsid w:val="00E00ED1"/>
    <w:rsid w:val="00E02792"/>
    <w:rsid w:val="00E03D24"/>
    <w:rsid w:val="00E05518"/>
    <w:rsid w:val="00E06120"/>
    <w:rsid w:val="00E076B0"/>
    <w:rsid w:val="00E10D62"/>
    <w:rsid w:val="00E131DF"/>
    <w:rsid w:val="00E1320D"/>
    <w:rsid w:val="00E15B2B"/>
    <w:rsid w:val="00E15DAC"/>
    <w:rsid w:val="00E178D7"/>
    <w:rsid w:val="00E218FC"/>
    <w:rsid w:val="00E21EF6"/>
    <w:rsid w:val="00E24FDF"/>
    <w:rsid w:val="00E308B7"/>
    <w:rsid w:val="00E30C8A"/>
    <w:rsid w:val="00E33344"/>
    <w:rsid w:val="00E37E92"/>
    <w:rsid w:val="00E43426"/>
    <w:rsid w:val="00E443BC"/>
    <w:rsid w:val="00E47360"/>
    <w:rsid w:val="00E502B5"/>
    <w:rsid w:val="00E511FF"/>
    <w:rsid w:val="00E617A3"/>
    <w:rsid w:val="00E631C2"/>
    <w:rsid w:val="00E63F2A"/>
    <w:rsid w:val="00E64EA4"/>
    <w:rsid w:val="00E70916"/>
    <w:rsid w:val="00E70D17"/>
    <w:rsid w:val="00E7172D"/>
    <w:rsid w:val="00E74799"/>
    <w:rsid w:val="00E7760B"/>
    <w:rsid w:val="00E77E24"/>
    <w:rsid w:val="00E82541"/>
    <w:rsid w:val="00E85034"/>
    <w:rsid w:val="00E85401"/>
    <w:rsid w:val="00E915EE"/>
    <w:rsid w:val="00E92654"/>
    <w:rsid w:val="00E92974"/>
    <w:rsid w:val="00E951E0"/>
    <w:rsid w:val="00E9523F"/>
    <w:rsid w:val="00E95C02"/>
    <w:rsid w:val="00E972E1"/>
    <w:rsid w:val="00EA0276"/>
    <w:rsid w:val="00EA1CA5"/>
    <w:rsid w:val="00EA49FB"/>
    <w:rsid w:val="00EB152D"/>
    <w:rsid w:val="00EB40B9"/>
    <w:rsid w:val="00EB5205"/>
    <w:rsid w:val="00EB59ED"/>
    <w:rsid w:val="00EB6C88"/>
    <w:rsid w:val="00EB6E33"/>
    <w:rsid w:val="00EB75B6"/>
    <w:rsid w:val="00EC1DE5"/>
    <w:rsid w:val="00EC6D9C"/>
    <w:rsid w:val="00ED2F0D"/>
    <w:rsid w:val="00ED5445"/>
    <w:rsid w:val="00ED613D"/>
    <w:rsid w:val="00ED6BBB"/>
    <w:rsid w:val="00EE52BF"/>
    <w:rsid w:val="00EE7B8C"/>
    <w:rsid w:val="00EF073A"/>
    <w:rsid w:val="00EF073F"/>
    <w:rsid w:val="00EF0BF7"/>
    <w:rsid w:val="00EF1A5B"/>
    <w:rsid w:val="00EF5B19"/>
    <w:rsid w:val="00EF64DF"/>
    <w:rsid w:val="00F0042A"/>
    <w:rsid w:val="00F00664"/>
    <w:rsid w:val="00F11F10"/>
    <w:rsid w:val="00F13919"/>
    <w:rsid w:val="00F14A68"/>
    <w:rsid w:val="00F15A3D"/>
    <w:rsid w:val="00F166B5"/>
    <w:rsid w:val="00F201F4"/>
    <w:rsid w:val="00F24CDA"/>
    <w:rsid w:val="00F25FFA"/>
    <w:rsid w:val="00F2622C"/>
    <w:rsid w:val="00F26824"/>
    <w:rsid w:val="00F2740D"/>
    <w:rsid w:val="00F32001"/>
    <w:rsid w:val="00F34258"/>
    <w:rsid w:val="00F344B0"/>
    <w:rsid w:val="00F3525F"/>
    <w:rsid w:val="00F406D3"/>
    <w:rsid w:val="00F43DE8"/>
    <w:rsid w:val="00F44499"/>
    <w:rsid w:val="00F4468A"/>
    <w:rsid w:val="00F52BF5"/>
    <w:rsid w:val="00F55D9A"/>
    <w:rsid w:val="00F55F98"/>
    <w:rsid w:val="00F57B14"/>
    <w:rsid w:val="00F60A89"/>
    <w:rsid w:val="00F61363"/>
    <w:rsid w:val="00F63D0E"/>
    <w:rsid w:val="00F6419E"/>
    <w:rsid w:val="00F72A2B"/>
    <w:rsid w:val="00F730A4"/>
    <w:rsid w:val="00F7642B"/>
    <w:rsid w:val="00F81B5B"/>
    <w:rsid w:val="00F83990"/>
    <w:rsid w:val="00F84DF0"/>
    <w:rsid w:val="00F85469"/>
    <w:rsid w:val="00F85DB0"/>
    <w:rsid w:val="00F86AEC"/>
    <w:rsid w:val="00F86C00"/>
    <w:rsid w:val="00F87DD8"/>
    <w:rsid w:val="00F905C7"/>
    <w:rsid w:val="00F918E5"/>
    <w:rsid w:val="00F95B8A"/>
    <w:rsid w:val="00F96226"/>
    <w:rsid w:val="00FA3559"/>
    <w:rsid w:val="00FA3E52"/>
    <w:rsid w:val="00FA6C2E"/>
    <w:rsid w:val="00FA7CF9"/>
    <w:rsid w:val="00FB1916"/>
    <w:rsid w:val="00FB226B"/>
    <w:rsid w:val="00FB23CC"/>
    <w:rsid w:val="00FB2B6C"/>
    <w:rsid w:val="00FB6FF0"/>
    <w:rsid w:val="00FB777C"/>
    <w:rsid w:val="00FC0BD5"/>
    <w:rsid w:val="00FC2D83"/>
    <w:rsid w:val="00FC359B"/>
    <w:rsid w:val="00FC4D46"/>
    <w:rsid w:val="00FD0843"/>
    <w:rsid w:val="00FD1A1E"/>
    <w:rsid w:val="00FD4098"/>
    <w:rsid w:val="00FD4FD7"/>
    <w:rsid w:val="00FD5D8B"/>
    <w:rsid w:val="00FD68FF"/>
    <w:rsid w:val="00FD7CBF"/>
    <w:rsid w:val="00FE334B"/>
    <w:rsid w:val="00FE56D0"/>
    <w:rsid w:val="00FF022B"/>
    <w:rsid w:val="00FF3EFD"/>
    <w:rsid w:val="00FF6A90"/>
    <w:rsid w:val="00FF7B1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E79AE2"/>
  <w15:docId w15:val="{C4C15F12-3CFC-3A48-910D-B8CC1F38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2539"/>
  </w:style>
  <w:style w:type="paragraph" w:styleId="Titolo1">
    <w:name w:val="heading 1"/>
    <w:basedOn w:val="Normale"/>
    <w:link w:val="Titolo1Carattere"/>
    <w:uiPriority w:val="9"/>
    <w:qFormat/>
    <w:rsid w:val="00482851"/>
    <w:pPr>
      <w:spacing w:before="100" w:beforeAutospacing="1" w:after="100" w:afterAutospacing="1"/>
      <w:outlineLvl w:val="0"/>
    </w:pPr>
    <w:rPr>
      <w:rFonts w:ascii="Times" w:hAnsi="Times"/>
      <w:b/>
      <w:bCs/>
      <w:kern w:val="36"/>
      <w:sz w:val="48"/>
      <w:szCs w:val="48"/>
    </w:rPr>
  </w:style>
  <w:style w:type="paragraph" w:styleId="Titolo2">
    <w:name w:val="heading 2"/>
    <w:basedOn w:val="Normale1"/>
    <w:next w:val="Normale1"/>
    <w:pPr>
      <w:keepNext/>
      <w:keepLines/>
      <w:spacing w:before="360" w:after="80"/>
      <w:outlineLvl w:val="1"/>
    </w:pPr>
    <w:rPr>
      <w:b/>
      <w:sz w:val="36"/>
      <w:szCs w:val="36"/>
    </w:rPr>
  </w:style>
  <w:style w:type="paragraph" w:styleId="Titolo3">
    <w:name w:val="heading 3"/>
    <w:basedOn w:val="Normale"/>
    <w:link w:val="Titolo3Carattere"/>
    <w:uiPriority w:val="9"/>
    <w:qFormat/>
    <w:rsid w:val="00482851"/>
    <w:pPr>
      <w:spacing w:before="100" w:beforeAutospacing="1" w:after="100" w:afterAutospacing="1"/>
      <w:outlineLvl w:val="2"/>
    </w:pPr>
    <w:rPr>
      <w:rFonts w:ascii="Times" w:hAnsi="Times"/>
      <w:b/>
      <w:bCs/>
      <w:sz w:val="27"/>
      <w:szCs w:val="27"/>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0">
    <w:name w:val="Normale1"/>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customStyle="1" w:styleId="Normale1">
    <w:name w:val="Normale1"/>
  </w:style>
  <w:style w:type="table" w:customStyle="1" w:styleId="TableNormal2">
    <w:name w:val="Table Normal2"/>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482851"/>
    <w:rPr>
      <w:rFonts w:ascii="Times" w:hAnsi="Times"/>
      <w:b/>
      <w:bCs/>
      <w:kern w:val="36"/>
      <w:sz w:val="48"/>
      <w:szCs w:val="48"/>
    </w:rPr>
  </w:style>
  <w:style w:type="character" w:customStyle="1" w:styleId="Titolo3Carattere">
    <w:name w:val="Titolo 3 Carattere"/>
    <w:basedOn w:val="Carpredefinitoparagrafo"/>
    <w:link w:val="Titolo3"/>
    <w:uiPriority w:val="9"/>
    <w:rsid w:val="00482851"/>
    <w:rPr>
      <w:rFonts w:ascii="Times" w:hAnsi="Times"/>
      <w:b/>
      <w:bCs/>
      <w:sz w:val="27"/>
      <w:szCs w:val="27"/>
    </w:rPr>
  </w:style>
  <w:style w:type="character" w:customStyle="1" w:styleId="author">
    <w:name w:val="author"/>
    <w:basedOn w:val="Carpredefinitoparagrafo"/>
    <w:rsid w:val="00482851"/>
  </w:style>
  <w:style w:type="character" w:styleId="Collegamentoipertestuale">
    <w:name w:val="Hyperlink"/>
    <w:basedOn w:val="Carpredefinitoparagrafo"/>
    <w:uiPriority w:val="99"/>
    <w:unhideWhenUsed/>
    <w:rsid w:val="00482851"/>
    <w:rPr>
      <w:color w:val="0000FF"/>
      <w:u w:val="single"/>
    </w:rPr>
  </w:style>
  <w:style w:type="character" w:styleId="Enfasicorsivo">
    <w:name w:val="Emphasis"/>
    <w:basedOn w:val="Carpredefinitoparagrafo"/>
    <w:uiPriority w:val="20"/>
    <w:qFormat/>
    <w:rsid w:val="00482851"/>
    <w:rPr>
      <w:i/>
      <w:iCs/>
    </w:rPr>
  </w:style>
  <w:style w:type="paragraph" w:styleId="NormaleWeb">
    <w:name w:val="Normal (Web)"/>
    <w:basedOn w:val="Normale"/>
    <w:uiPriority w:val="99"/>
    <w:semiHidden/>
    <w:unhideWhenUsed/>
    <w:rsid w:val="00482851"/>
    <w:pPr>
      <w:spacing w:before="100" w:beforeAutospacing="1" w:after="100" w:afterAutospacing="1"/>
    </w:pPr>
    <w:rPr>
      <w:rFonts w:ascii="Times" w:hAnsi="Times" w:cs="Times New Roman"/>
      <w:sz w:val="20"/>
      <w:szCs w:val="20"/>
    </w:rPr>
  </w:style>
  <w:style w:type="character" w:styleId="Enfasigrassetto">
    <w:name w:val="Strong"/>
    <w:basedOn w:val="Carpredefinitoparagrafo"/>
    <w:uiPriority w:val="22"/>
    <w:qFormat/>
    <w:rsid w:val="00482851"/>
    <w:rPr>
      <w:b/>
      <w:bCs/>
    </w:rPr>
  </w:style>
  <w:style w:type="paragraph" w:styleId="Testofumetto">
    <w:name w:val="Balloon Text"/>
    <w:basedOn w:val="Normale"/>
    <w:link w:val="TestofumettoCarattere"/>
    <w:uiPriority w:val="99"/>
    <w:semiHidden/>
    <w:unhideWhenUsed/>
    <w:rsid w:val="0048285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82851"/>
    <w:rPr>
      <w:rFonts w:ascii="Lucida Grande" w:hAnsi="Lucida Grande" w:cs="Lucida Grande"/>
      <w:sz w:val="18"/>
      <w:szCs w:val="18"/>
    </w:rPr>
  </w:style>
  <w:style w:type="character" w:customStyle="1" w:styleId="apple-converted-space">
    <w:name w:val="apple-converted-space"/>
    <w:basedOn w:val="Carpredefinitoparagrafo"/>
    <w:rsid w:val="00865F4A"/>
  </w:style>
  <w:style w:type="paragraph" w:styleId="Sottotitolo">
    <w:name w:val="Subtitle"/>
    <w:basedOn w:val="Normale10"/>
    <w:next w:val="Normale1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gmaildefault">
    <w:name w:val="gmail_default"/>
    <w:basedOn w:val="Carpredefinitoparagrafo"/>
    <w:rsid w:val="00771D9A"/>
  </w:style>
  <w:style w:type="character" w:customStyle="1" w:styleId="Menzionenonrisolta1">
    <w:name w:val="Menzione non risolta1"/>
    <w:basedOn w:val="Carpredefinitoparagrafo"/>
    <w:uiPriority w:val="99"/>
    <w:semiHidden/>
    <w:unhideWhenUsed/>
    <w:rsid w:val="00412928"/>
    <w:rPr>
      <w:color w:val="605E5C"/>
      <w:shd w:val="clear" w:color="auto" w:fill="E1DFDD"/>
    </w:rPr>
  </w:style>
  <w:style w:type="paragraph" w:customStyle="1" w:styleId="Default">
    <w:name w:val="Default"/>
    <w:rsid w:val="00621D41"/>
    <w:pPr>
      <w:widowControl w:val="0"/>
      <w:autoSpaceDE w:val="0"/>
      <w:autoSpaceDN w:val="0"/>
      <w:adjustRightInd w:val="0"/>
    </w:pPr>
    <w:rPr>
      <w:rFonts w:ascii="Sylfaen" w:hAnsi="Sylfaen" w:cs="Sylfaen"/>
      <w:color w:val="000000"/>
    </w:rPr>
  </w:style>
  <w:style w:type="paragraph" w:styleId="Paragrafoelenco">
    <w:name w:val="List Paragraph"/>
    <w:basedOn w:val="Normale"/>
    <w:uiPriority w:val="34"/>
    <w:qFormat/>
    <w:rsid w:val="00140B44"/>
    <w:pPr>
      <w:ind w:left="720"/>
      <w:contextualSpacing/>
    </w:pPr>
  </w:style>
  <w:style w:type="paragraph" w:styleId="Intestazione">
    <w:name w:val="header"/>
    <w:basedOn w:val="Normale"/>
    <w:link w:val="IntestazioneCarattere"/>
    <w:uiPriority w:val="99"/>
    <w:unhideWhenUsed/>
    <w:rsid w:val="00DB6C34"/>
    <w:pPr>
      <w:tabs>
        <w:tab w:val="center" w:pos="4819"/>
        <w:tab w:val="right" w:pos="9638"/>
      </w:tabs>
    </w:pPr>
  </w:style>
  <w:style w:type="character" w:customStyle="1" w:styleId="IntestazioneCarattere">
    <w:name w:val="Intestazione Carattere"/>
    <w:basedOn w:val="Carpredefinitoparagrafo"/>
    <w:link w:val="Intestazione"/>
    <w:uiPriority w:val="99"/>
    <w:rsid w:val="00DB6C34"/>
  </w:style>
  <w:style w:type="paragraph" w:styleId="Pidipagina">
    <w:name w:val="footer"/>
    <w:basedOn w:val="Normale"/>
    <w:link w:val="PidipaginaCarattere"/>
    <w:uiPriority w:val="99"/>
    <w:unhideWhenUsed/>
    <w:rsid w:val="00DB6C34"/>
    <w:pPr>
      <w:tabs>
        <w:tab w:val="center" w:pos="4819"/>
        <w:tab w:val="right" w:pos="9638"/>
      </w:tabs>
    </w:pPr>
  </w:style>
  <w:style w:type="character" w:customStyle="1" w:styleId="PidipaginaCarattere">
    <w:name w:val="Piè di pagina Carattere"/>
    <w:basedOn w:val="Carpredefinitoparagrafo"/>
    <w:link w:val="Pidipagina"/>
    <w:uiPriority w:val="99"/>
    <w:rsid w:val="00DB6C34"/>
  </w:style>
  <w:style w:type="character" w:styleId="Menzionenonrisolta">
    <w:name w:val="Unresolved Mention"/>
    <w:basedOn w:val="Carpredefinitoparagrafo"/>
    <w:uiPriority w:val="99"/>
    <w:semiHidden/>
    <w:unhideWhenUsed/>
    <w:rsid w:val="00DB6C34"/>
    <w:rPr>
      <w:color w:val="605E5C"/>
      <w:shd w:val="clear" w:color="auto" w:fill="E1DFDD"/>
    </w:rPr>
  </w:style>
  <w:style w:type="table" w:styleId="Grigliatabella">
    <w:name w:val="Table Grid"/>
    <w:basedOn w:val="Tabellanormale"/>
    <w:rsid w:val="000A0E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882A58"/>
    <w:rPr>
      <w:color w:val="800080" w:themeColor="followedHyperlink"/>
      <w:u w:val="single"/>
    </w:rPr>
  </w:style>
  <w:style w:type="paragraph" w:styleId="Revisione">
    <w:name w:val="Revision"/>
    <w:hidden/>
    <w:uiPriority w:val="99"/>
    <w:semiHidden/>
    <w:rsid w:val="00416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535">
      <w:bodyDiv w:val="1"/>
      <w:marLeft w:val="0"/>
      <w:marRight w:val="0"/>
      <w:marTop w:val="0"/>
      <w:marBottom w:val="0"/>
      <w:divBdr>
        <w:top w:val="none" w:sz="0" w:space="0" w:color="auto"/>
        <w:left w:val="none" w:sz="0" w:space="0" w:color="auto"/>
        <w:bottom w:val="none" w:sz="0" w:space="0" w:color="auto"/>
        <w:right w:val="none" w:sz="0" w:space="0" w:color="auto"/>
      </w:divBdr>
    </w:div>
    <w:div w:id="27875810">
      <w:bodyDiv w:val="1"/>
      <w:marLeft w:val="0"/>
      <w:marRight w:val="0"/>
      <w:marTop w:val="0"/>
      <w:marBottom w:val="0"/>
      <w:divBdr>
        <w:top w:val="none" w:sz="0" w:space="0" w:color="auto"/>
        <w:left w:val="none" w:sz="0" w:space="0" w:color="auto"/>
        <w:bottom w:val="none" w:sz="0" w:space="0" w:color="auto"/>
        <w:right w:val="none" w:sz="0" w:space="0" w:color="auto"/>
      </w:divBdr>
    </w:div>
    <w:div w:id="27875917">
      <w:bodyDiv w:val="1"/>
      <w:marLeft w:val="0"/>
      <w:marRight w:val="0"/>
      <w:marTop w:val="0"/>
      <w:marBottom w:val="0"/>
      <w:divBdr>
        <w:top w:val="none" w:sz="0" w:space="0" w:color="auto"/>
        <w:left w:val="none" w:sz="0" w:space="0" w:color="auto"/>
        <w:bottom w:val="none" w:sz="0" w:space="0" w:color="auto"/>
        <w:right w:val="none" w:sz="0" w:space="0" w:color="auto"/>
      </w:divBdr>
    </w:div>
    <w:div w:id="77480386">
      <w:bodyDiv w:val="1"/>
      <w:marLeft w:val="0"/>
      <w:marRight w:val="0"/>
      <w:marTop w:val="0"/>
      <w:marBottom w:val="0"/>
      <w:divBdr>
        <w:top w:val="none" w:sz="0" w:space="0" w:color="auto"/>
        <w:left w:val="none" w:sz="0" w:space="0" w:color="auto"/>
        <w:bottom w:val="none" w:sz="0" w:space="0" w:color="auto"/>
        <w:right w:val="none" w:sz="0" w:space="0" w:color="auto"/>
      </w:divBdr>
    </w:div>
    <w:div w:id="98765993">
      <w:bodyDiv w:val="1"/>
      <w:marLeft w:val="0"/>
      <w:marRight w:val="0"/>
      <w:marTop w:val="0"/>
      <w:marBottom w:val="0"/>
      <w:divBdr>
        <w:top w:val="none" w:sz="0" w:space="0" w:color="auto"/>
        <w:left w:val="none" w:sz="0" w:space="0" w:color="auto"/>
        <w:bottom w:val="none" w:sz="0" w:space="0" w:color="auto"/>
        <w:right w:val="none" w:sz="0" w:space="0" w:color="auto"/>
      </w:divBdr>
    </w:div>
    <w:div w:id="136843672">
      <w:bodyDiv w:val="1"/>
      <w:marLeft w:val="0"/>
      <w:marRight w:val="0"/>
      <w:marTop w:val="0"/>
      <w:marBottom w:val="0"/>
      <w:divBdr>
        <w:top w:val="none" w:sz="0" w:space="0" w:color="auto"/>
        <w:left w:val="none" w:sz="0" w:space="0" w:color="auto"/>
        <w:bottom w:val="none" w:sz="0" w:space="0" w:color="auto"/>
        <w:right w:val="none" w:sz="0" w:space="0" w:color="auto"/>
      </w:divBdr>
    </w:div>
    <w:div w:id="147132544">
      <w:bodyDiv w:val="1"/>
      <w:marLeft w:val="0"/>
      <w:marRight w:val="0"/>
      <w:marTop w:val="0"/>
      <w:marBottom w:val="0"/>
      <w:divBdr>
        <w:top w:val="none" w:sz="0" w:space="0" w:color="auto"/>
        <w:left w:val="none" w:sz="0" w:space="0" w:color="auto"/>
        <w:bottom w:val="none" w:sz="0" w:space="0" w:color="auto"/>
        <w:right w:val="none" w:sz="0" w:space="0" w:color="auto"/>
      </w:divBdr>
    </w:div>
    <w:div w:id="161703794">
      <w:bodyDiv w:val="1"/>
      <w:marLeft w:val="0"/>
      <w:marRight w:val="0"/>
      <w:marTop w:val="0"/>
      <w:marBottom w:val="0"/>
      <w:divBdr>
        <w:top w:val="none" w:sz="0" w:space="0" w:color="auto"/>
        <w:left w:val="none" w:sz="0" w:space="0" w:color="auto"/>
        <w:bottom w:val="none" w:sz="0" w:space="0" w:color="auto"/>
        <w:right w:val="none" w:sz="0" w:space="0" w:color="auto"/>
      </w:divBdr>
    </w:div>
    <w:div w:id="165748158">
      <w:bodyDiv w:val="1"/>
      <w:marLeft w:val="0"/>
      <w:marRight w:val="0"/>
      <w:marTop w:val="0"/>
      <w:marBottom w:val="0"/>
      <w:divBdr>
        <w:top w:val="none" w:sz="0" w:space="0" w:color="auto"/>
        <w:left w:val="none" w:sz="0" w:space="0" w:color="auto"/>
        <w:bottom w:val="none" w:sz="0" w:space="0" w:color="auto"/>
        <w:right w:val="none" w:sz="0" w:space="0" w:color="auto"/>
      </w:divBdr>
    </w:div>
    <w:div w:id="213582518">
      <w:bodyDiv w:val="1"/>
      <w:marLeft w:val="0"/>
      <w:marRight w:val="0"/>
      <w:marTop w:val="0"/>
      <w:marBottom w:val="0"/>
      <w:divBdr>
        <w:top w:val="none" w:sz="0" w:space="0" w:color="auto"/>
        <w:left w:val="none" w:sz="0" w:space="0" w:color="auto"/>
        <w:bottom w:val="none" w:sz="0" w:space="0" w:color="auto"/>
        <w:right w:val="none" w:sz="0" w:space="0" w:color="auto"/>
      </w:divBdr>
    </w:div>
    <w:div w:id="215550996">
      <w:bodyDiv w:val="1"/>
      <w:marLeft w:val="0"/>
      <w:marRight w:val="0"/>
      <w:marTop w:val="0"/>
      <w:marBottom w:val="0"/>
      <w:divBdr>
        <w:top w:val="none" w:sz="0" w:space="0" w:color="auto"/>
        <w:left w:val="none" w:sz="0" w:space="0" w:color="auto"/>
        <w:bottom w:val="none" w:sz="0" w:space="0" w:color="auto"/>
        <w:right w:val="none" w:sz="0" w:space="0" w:color="auto"/>
      </w:divBdr>
    </w:div>
    <w:div w:id="228349685">
      <w:bodyDiv w:val="1"/>
      <w:marLeft w:val="0"/>
      <w:marRight w:val="0"/>
      <w:marTop w:val="0"/>
      <w:marBottom w:val="0"/>
      <w:divBdr>
        <w:top w:val="none" w:sz="0" w:space="0" w:color="auto"/>
        <w:left w:val="none" w:sz="0" w:space="0" w:color="auto"/>
        <w:bottom w:val="none" w:sz="0" w:space="0" w:color="auto"/>
        <w:right w:val="none" w:sz="0" w:space="0" w:color="auto"/>
      </w:divBdr>
    </w:div>
    <w:div w:id="234557120">
      <w:bodyDiv w:val="1"/>
      <w:marLeft w:val="0"/>
      <w:marRight w:val="0"/>
      <w:marTop w:val="0"/>
      <w:marBottom w:val="0"/>
      <w:divBdr>
        <w:top w:val="none" w:sz="0" w:space="0" w:color="auto"/>
        <w:left w:val="none" w:sz="0" w:space="0" w:color="auto"/>
        <w:bottom w:val="none" w:sz="0" w:space="0" w:color="auto"/>
        <w:right w:val="none" w:sz="0" w:space="0" w:color="auto"/>
      </w:divBdr>
    </w:div>
    <w:div w:id="250820084">
      <w:bodyDiv w:val="1"/>
      <w:marLeft w:val="0"/>
      <w:marRight w:val="0"/>
      <w:marTop w:val="0"/>
      <w:marBottom w:val="0"/>
      <w:divBdr>
        <w:top w:val="none" w:sz="0" w:space="0" w:color="auto"/>
        <w:left w:val="none" w:sz="0" w:space="0" w:color="auto"/>
        <w:bottom w:val="none" w:sz="0" w:space="0" w:color="auto"/>
        <w:right w:val="none" w:sz="0" w:space="0" w:color="auto"/>
      </w:divBdr>
    </w:div>
    <w:div w:id="253979028">
      <w:bodyDiv w:val="1"/>
      <w:marLeft w:val="0"/>
      <w:marRight w:val="0"/>
      <w:marTop w:val="0"/>
      <w:marBottom w:val="0"/>
      <w:divBdr>
        <w:top w:val="none" w:sz="0" w:space="0" w:color="auto"/>
        <w:left w:val="none" w:sz="0" w:space="0" w:color="auto"/>
        <w:bottom w:val="none" w:sz="0" w:space="0" w:color="auto"/>
        <w:right w:val="none" w:sz="0" w:space="0" w:color="auto"/>
      </w:divBdr>
    </w:div>
    <w:div w:id="260601444">
      <w:bodyDiv w:val="1"/>
      <w:marLeft w:val="0"/>
      <w:marRight w:val="0"/>
      <w:marTop w:val="0"/>
      <w:marBottom w:val="0"/>
      <w:divBdr>
        <w:top w:val="none" w:sz="0" w:space="0" w:color="auto"/>
        <w:left w:val="none" w:sz="0" w:space="0" w:color="auto"/>
        <w:bottom w:val="none" w:sz="0" w:space="0" w:color="auto"/>
        <w:right w:val="none" w:sz="0" w:space="0" w:color="auto"/>
      </w:divBdr>
    </w:div>
    <w:div w:id="286359421">
      <w:bodyDiv w:val="1"/>
      <w:marLeft w:val="0"/>
      <w:marRight w:val="0"/>
      <w:marTop w:val="0"/>
      <w:marBottom w:val="0"/>
      <w:divBdr>
        <w:top w:val="none" w:sz="0" w:space="0" w:color="auto"/>
        <w:left w:val="none" w:sz="0" w:space="0" w:color="auto"/>
        <w:bottom w:val="none" w:sz="0" w:space="0" w:color="auto"/>
        <w:right w:val="none" w:sz="0" w:space="0" w:color="auto"/>
      </w:divBdr>
    </w:div>
    <w:div w:id="291323303">
      <w:bodyDiv w:val="1"/>
      <w:marLeft w:val="0"/>
      <w:marRight w:val="0"/>
      <w:marTop w:val="0"/>
      <w:marBottom w:val="0"/>
      <w:divBdr>
        <w:top w:val="none" w:sz="0" w:space="0" w:color="auto"/>
        <w:left w:val="none" w:sz="0" w:space="0" w:color="auto"/>
        <w:bottom w:val="none" w:sz="0" w:space="0" w:color="auto"/>
        <w:right w:val="none" w:sz="0" w:space="0" w:color="auto"/>
      </w:divBdr>
    </w:div>
    <w:div w:id="320619597">
      <w:bodyDiv w:val="1"/>
      <w:marLeft w:val="0"/>
      <w:marRight w:val="0"/>
      <w:marTop w:val="0"/>
      <w:marBottom w:val="0"/>
      <w:divBdr>
        <w:top w:val="none" w:sz="0" w:space="0" w:color="auto"/>
        <w:left w:val="none" w:sz="0" w:space="0" w:color="auto"/>
        <w:bottom w:val="none" w:sz="0" w:space="0" w:color="auto"/>
        <w:right w:val="none" w:sz="0" w:space="0" w:color="auto"/>
      </w:divBdr>
    </w:div>
    <w:div w:id="376053801">
      <w:bodyDiv w:val="1"/>
      <w:marLeft w:val="0"/>
      <w:marRight w:val="0"/>
      <w:marTop w:val="0"/>
      <w:marBottom w:val="0"/>
      <w:divBdr>
        <w:top w:val="none" w:sz="0" w:space="0" w:color="auto"/>
        <w:left w:val="none" w:sz="0" w:space="0" w:color="auto"/>
        <w:bottom w:val="none" w:sz="0" w:space="0" w:color="auto"/>
        <w:right w:val="none" w:sz="0" w:space="0" w:color="auto"/>
      </w:divBdr>
    </w:div>
    <w:div w:id="416025669">
      <w:bodyDiv w:val="1"/>
      <w:marLeft w:val="0"/>
      <w:marRight w:val="0"/>
      <w:marTop w:val="0"/>
      <w:marBottom w:val="0"/>
      <w:divBdr>
        <w:top w:val="none" w:sz="0" w:space="0" w:color="auto"/>
        <w:left w:val="none" w:sz="0" w:space="0" w:color="auto"/>
        <w:bottom w:val="none" w:sz="0" w:space="0" w:color="auto"/>
        <w:right w:val="none" w:sz="0" w:space="0" w:color="auto"/>
      </w:divBdr>
    </w:div>
    <w:div w:id="417291608">
      <w:bodyDiv w:val="1"/>
      <w:marLeft w:val="0"/>
      <w:marRight w:val="0"/>
      <w:marTop w:val="0"/>
      <w:marBottom w:val="0"/>
      <w:divBdr>
        <w:top w:val="none" w:sz="0" w:space="0" w:color="auto"/>
        <w:left w:val="none" w:sz="0" w:space="0" w:color="auto"/>
        <w:bottom w:val="none" w:sz="0" w:space="0" w:color="auto"/>
        <w:right w:val="none" w:sz="0" w:space="0" w:color="auto"/>
      </w:divBdr>
    </w:div>
    <w:div w:id="437599992">
      <w:bodyDiv w:val="1"/>
      <w:marLeft w:val="0"/>
      <w:marRight w:val="0"/>
      <w:marTop w:val="0"/>
      <w:marBottom w:val="0"/>
      <w:divBdr>
        <w:top w:val="none" w:sz="0" w:space="0" w:color="auto"/>
        <w:left w:val="none" w:sz="0" w:space="0" w:color="auto"/>
        <w:bottom w:val="none" w:sz="0" w:space="0" w:color="auto"/>
        <w:right w:val="none" w:sz="0" w:space="0" w:color="auto"/>
      </w:divBdr>
    </w:div>
    <w:div w:id="461190536">
      <w:bodyDiv w:val="1"/>
      <w:marLeft w:val="0"/>
      <w:marRight w:val="0"/>
      <w:marTop w:val="0"/>
      <w:marBottom w:val="0"/>
      <w:divBdr>
        <w:top w:val="none" w:sz="0" w:space="0" w:color="auto"/>
        <w:left w:val="none" w:sz="0" w:space="0" w:color="auto"/>
        <w:bottom w:val="none" w:sz="0" w:space="0" w:color="auto"/>
        <w:right w:val="none" w:sz="0" w:space="0" w:color="auto"/>
      </w:divBdr>
    </w:div>
    <w:div w:id="490221759">
      <w:bodyDiv w:val="1"/>
      <w:marLeft w:val="0"/>
      <w:marRight w:val="0"/>
      <w:marTop w:val="0"/>
      <w:marBottom w:val="0"/>
      <w:divBdr>
        <w:top w:val="none" w:sz="0" w:space="0" w:color="auto"/>
        <w:left w:val="none" w:sz="0" w:space="0" w:color="auto"/>
        <w:bottom w:val="none" w:sz="0" w:space="0" w:color="auto"/>
        <w:right w:val="none" w:sz="0" w:space="0" w:color="auto"/>
      </w:divBdr>
    </w:div>
    <w:div w:id="542638556">
      <w:bodyDiv w:val="1"/>
      <w:marLeft w:val="0"/>
      <w:marRight w:val="0"/>
      <w:marTop w:val="0"/>
      <w:marBottom w:val="0"/>
      <w:divBdr>
        <w:top w:val="none" w:sz="0" w:space="0" w:color="auto"/>
        <w:left w:val="none" w:sz="0" w:space="0" w:color="auto"/>
        <w:bottom w:val="none" w:sz="0" w:space="0" w:color="auto"/>
        <w:right w:val="none" w:sz="0" w:space="0" w:color="auto"/>
      </w:divBdr>
    </w:div>
    <w:div w:id="589780680">
      <w:bodyDiv w:val="1"/>
      <w:marLeft w:val="0"/>
      <w:marRight w:val="0"/>
      <w:marTop w:val="0"/>
      <w:marBottom w:val="0"/>
      <w:divBdr>
        <w:top w:val="none" w:sz="0" w:space="0" w:color="auto"/>
        <w:left w:val="none" w:sz="0" w:space="0" w:color="auto"/>
        <w:bottom w:val="none" w:sz="0" w:space="0" w:color="auto"/>
        <w:right w:val="none" w:sz="0" w:space="0" w:color="auto"/>
      </w:divBdr>
    </w:div>
    <w:div w:id="656156717">
      <w:bodyDiv w:val="1"/>
      <w:marLeft w:val="0"/>
      <w:marRight w:val="0"/>
      <w:marTop w:val="0"/>
      <w:marBottom w:val="0"/>
      <w:divBdr>
        <w:top w:val="none" w:sz="0" w:space="0" w:color="auto"/>
        <w:left w:val="none" w:sz="0" w:space="0" w:color="auto"/>
        <w:bottom w:val="none" w:sz="0" w:space="0" w:color="auto"/>
        <w:right w:val="none" w:sz="0" w:space="0" w:color="auto"/>
      </w:divBdr>
    </w:div>
    <w:div w:id="745566626">
      <w:bodyDiv w:val="1"/>
      <w:marLeft w:val="0"/>
      <w:marRight w:val="0"/>
      <w:marTop w:val="0"/>
      <w:marBottom w:val="0"/>
      <w:divBdr>
        <w:top w:val="none" w:sz="0" w:space="0" w:color="auto"/>
        <w:left w:val="none" w:sz="0" w:space="0" w:color="auto"/>
        <w:bottom w:val="none" w:sz="0" w:space="0" w:color="auto"/>
        <w:right w:val="none" w:sz="0" w:space="0" w:color="auto"/>
      </w:divBdr>
    </w:div>
    <w:div w:id="746807247">
      <w:bodyDiv w:val="1"/>
      <w:marLeft w:val="0"/>
      <w:marRight w:val="0"/>
      <w:marTop w:val="0"/>
      <w:marBottom w:val="0"/>
      <w:divBdr>
        <w:top w:val="none" w:sz="0" w:space="0" w:color="auto"/>
        <w:left w:val="none" w:sz="0" w:space="0" w:color="auto"/>
        <w:bottom w:val="none" w:sz="0" w:space="0" w:color="auto"/>
        <w:right w:val="none" w:sz="0" w:space="0" w:color="auto"/>
      </w:divBdr>
    </w:div>
    <w:div w:id="755588610">
      <w:bodyDiv w:val="1"/>
      <w:marLeft w:val="0"/>
      <w:marRight w:val="0"/>
      <w:marTop w:val="0"/>
      <w:marBottom w:val="0"/>
      <w:divBdr>
        <w:top w:val="none" w:sz="0" w:space="0" w:color="auto"/>
        <w:left w:val="none" w:sz="0" w:space="0" w:color="auto"/>
        <w:bottom w:val="none" w:sz="0" w:space="0" w:color="auto"/>
        <w:right w:val="none" w:sz="0" w:space="0" w:color="auto"/>
      </w:divBdr>
    </w:div>
    <w:div w:id="765031185">
      <w:bodyDiv w:val="1"/>
      <w:marLeft w:val="0"/>
      <w:marRight w:val="0"/>
      <w:marTop w:val="0"/>
      <w:marBottom w:val="0"/>
      <w:divBdr>
        <w:top w:val="none" w:sz="0" w:space="0" w:color="auto"/>
        <w:left w:val="none" w:sz="0" w:space="0" w:color="auto"/>
        <w:bottom w:val="none" w:sz="0" w:space="0" w:color="auto"/>
        <w:right w:val="none" w:sz="0" w:space="0" w:color="auto"/>
      </w:divBdr>
    </w:div>
    <w:div w:id="811948810">
      <w:bodyDiv w:val="1"/>
      <w:marLeft w:val="0"/>
      <w:marRight w:val="0"/>
      <w:marTop w:val="0"/>
      <w:marBottom w:val="0"/>
      <w:divBdr>
        <w:top w:val="none" w:sz="0" w:space="0" w:color="auto"/>
        <w:left w:val="none" w:sz="0" w:space="0" w:color="auto"/>
        <w:bottom w:val="none" w:sz="0" w:space="0" w:color="auto"/>
        <w:right w:val="none" w:sz="0" w:space="0" w:color="auto"/>
      </w:divBdr>
    </w:div>
    <w:div w:id="829832244">
      <w:bodyDiv w:val="1"/>
      <w:marLeft w:val="0"/>
      <w:marRight w:val="0"/>
      <w:marTop w:val="0"/>
      <w:marBottom w:val="0"/>
      <w:divBdr>
        <w:top w:val="none" w:sz="0" w:space="0" w:color="auto"/>
        <w:left w:val="none" w:sz="0" w:space="0" w:color="auto"/>
        <w:bottom w:val="none" w:sz="0" w:space="0" w:color="auto"/>
        <w:right w:val="none" w:sz="0" w:space="0" w:color="auto"/>
      </w:divBdr>
    </w:div>
    <w:div w:id="852493061">
      <w:bodyDiv w:val="1"/>
      <w:marLeft w:val="0"/>
      <w:marRight w:val="0"/>
      <w:marTop w:val="0"/>
      <w:marBottom w:val="0"/>
      <w:divBdr>
        <w:top w:val="none" w:sz="0" w:space="0" w:color="auto"/>
        <w:left w:val="none" w:sz="0" w:space="0" w:color="auto"/>
        <w:bottom w:val="none" w:sz="0" w:space="0" w:color="auto"/>
        <w:right w:val="none" w:sz="0" w:space="0" w:color="auto"/>
      </w:divBdr>
    </w:div>
    <w:div w:id="892690076">
      <w:bodyDiv w:val="1"/>
      <w:marLeft w:val="0"/>
      <w:marRight w:val="0"/>
      <w:marTop w:val="0"/>
      <w:marBottom w:val="0"/>
      <w:divBdr>
        <w:top w:val="none" w:sz="0" w:space="0" w:color="auto"/>
        <w:left w:val="none" w:sz="0" w:space="0" w:color="auto"/>
        <w:bottom w:val="none" w:sz="0" w:space="0" w:color="auto"/>
        <w:right w:val="none" w:sz="0" w:space="0" w:color="auto"/>
      </w:divBdr>
    </w:div>
    <w:div w:id="903224092">
      <w:bodyDiv w:val="1"/>
      <w:marLeft w:val="0"/>
      <w:marRight w:val="0"/>
      <w:marTop w:val="0"/>
      <w:marBottom w:val="0"/>
      <w:divBdr>
        <w:top w:val="none" w:sz="0" w:space="0" w:color="auto"/>
        <w:left w:val="none" w:sz="0" w:space="0" w:color="auto"/>
        <w:bottom w:val="none" w:sz="0" w:space="0" w:color="auto"/>
        <w:right w:val="none" w:sz="0" w:space="0" w:color="auto"/>
      </w:divBdr>
    </w:div>
    <w:div w:id="931085948">
      <w:bodyDiv w:val="1"/>
      <w:marLeft w:val="0"/>
      <w:marRight w:val="0"/>
      <w:marTop w:val="0"/>
      <w:marBottom w:val="0"/>
      <w:divBdr>
        <w:top w:val="none" w:sz="0" w:space="0" w:color="auto"/>
        <w:left w:val="none" w:sz="0" w:space="0" w:color="auto"/>
        <w:bottom w:val="none" w:sz="0" w:space="0" w:color="auto"/>
        <w:right w:val="none" w:sz="0" w:space="0" w:color="auto"/>
      </w:divBdr>
    </w:div>
    <w:div w:id="975111624">
      <w:bodyDiv w:val="1"/>
      <w:marLeft w:val="0"/>
      <w:marRight w:val="0"/>
      <w:marTop w:val="0"/>
      <w:marBottom w:val="0"/>
      <w:divBdr>
        <w:top w:val="none" w:sz="0" w:space="0" w:color="auto"/>
        <w:left w:val="none" w:sz="0" w:space="0" w:color="auto"/>
        <w:bottom w:val="none" w:sz="0" w:space="0" w:color="auto"/>
        <w:right w:val="none" w:sz="0" w:space="0" w:color="auto"/>
      </w:divBdr>
    </w:div>
    <w:div w:id="989557674">
      <w:bodyDiv w:val="1"/>
      <w:marLeft w:val="0"/>
      <w:marRight w:val="0"/>
      <w:marTop w:val="0"/>
      <w:marBottom w:val="0"/>
      <w:divBdr>
        <w:top w:val="none" w:sz="0" w:space="0" w:color="auto"/>
        <w:left w:val="none" w:sz="0" w:space="0" w:color="auto"/>
        <w:bottom w:val="none" w:sz="0" w:space="0" w:color="auto"/>
        <w:right w:val="none" w:sz="0" w:space="0" w:color="auto"/>
      </w:divBdr>
    </w:div>
    <w:div w:id="999508173">
      <w:bodyDiv w:val="1"/>
      <w:marLeft w:val="0"/>
      <w:marRight w:val="0"/>
      <w:marTop w:val="0"/>
      <w:marBottom w:val="0"/>
      <w:divBdr>
        <w:top w:val="none" w:sz="0" w:space="0" w:color="auto"/>
        <w:left w:val="none" w:sz="0" w:space="0" w:color="auto"/>
        <w:bottom w:val="none" w:sz="0" w:space="0" w:color="auto"/>
        <w:right w:val="none" w:sz="0" w:space="0" w:color="auto"/>
      </w:divBdr>
    </w:div>
    <w:div w:id="1071543685">
      <w:bodyDiv w:val="1"/>
      <w:marLeft w:val="0"/>
      <w:marRight w:val="0"/>
      <w:marTop w:val="0"/>
      <w:marBottom w:val="0"/>
      <w:divBdr>
        <w:top w:val="none" w:sz="0" w:space="0" w:color="auto"/>
        <w:left w:val="none" w:sz="0" w:space="0" w:color="auto"/>
        <w:bottom w:val="none" w:sz="0" w:space="0" w:color="auto"/>
        <w:right w:val="none" w:sz="0" w:space="0" w:color="auto"/>
      </w:divBdr>
    </w:div>
    <w:div w:id="1090781673">
      <w:bodyDiv w:val="1"/>
      <w:marLeft w:val="0"/>
      <w:marRight w:val="0"/>
      <w:marTop w:val="0"/>
      <w:marBottom w:val="0"/>
      <w:divBdr>
        <w:top w:val="none" w:sz="0" w:space="0" w:color="auto"/>
        <w:left w:val="none" w:sz="0" w:space="0" w:color="auto"/>
        <w:bottom w:val="none" w:sz="0" w:space="0" w:color="auto"/>
        <w:right w:val="none" w:sz="0" w:space="0" w:color="auto"/>
      </w:divBdr>
    </w:div>
    <w:div w:id="1132287905">
      <w:bodyDiv w:val="1"/>
      <w:marLeft w:val="0"/>
      <w:marRight w:val="0"/>
      <w:marTop w:val="0"/>
      <w:marBottom w:val="0"/>
      <w:divBdr>
        <w:top w:val="none" w:sz="0" w:space="0" w:color="auto"/>
        <w:left w:val="none" w:sz="0" w:space="0" w:color="auto"/>
        <w:bottom w:val="none" w:sz="0" w:space="0" w:color="auto"/>
        <w:right w:val="none" w:sz="0" w:space="0" w:color="auto"/>
      </w:divBdr>
    </w:div>
    <w:div w:id="1135295972">
      <w:bodyDiv w:val="1"/>
      <w:marLeft w:val="0"/>
      <w:marRight w:val="0"/>
      <w:marTop w:val="0"/>
      <w:marBottom w:val="0"/>
      <w:divBdr>
        <w:top w:val="none" w:sz="0" w:space="0" w:color="auto"/>
        <w:left w:val="none" w:sz="0" w:space="0" w:color="auto"/>
        <w:bottom w:val="none" w:sz="0" w:space="0" w:color="auto"/>
        <w:right w:val="none" w:sz="0" w:space="0" w:color="auto"/>
      </w:divBdr>
    </w:div>
    <w:div w:id="1140420442">
      <w:bodyDiv w:val="1"/>
      <w:marLeft w:val="0"/>
      <w:marRight w:val="0"/>
      <w:marTop w:val="0"/>
      <w:marBottom w:val="0"/>
      <w:divBdr>
        <w:top w:val="none" w:sz="0" w:space="0" w:color="auto"/>
        <w:left w:val="none" w:sz="0" w:space="0" w:color="auto"/>
        <w:bottom w:val="none" w:sz="0" w:space="0" w:color="auto"/>
        <w:right w:val="none" w:sz="0" w:space="0" w:color="auto"/>
      </w:divBdr>
    </w:div>
    <w:div w:id="1247031129">
      <w:bodyDiv w:val="1"/>
      <w:marLeft w:val="0"/>
      <w:marRight w:val="0"/>
      <w:marTop w:val="0"/>
      <w:marBottom w:val="0"/>
      <w:divBdr>
        <w:top w:val="none" w:sz="0" w:space="0" w:color="auto"/>
        <w:left w:val="none" w:sz="0" w:space="0" w:color="auto"/>
        <w:bottom w:val="none" w:sz="0" w:space="0" w:color="auto"/>
        <w:right w:val="none" w:sz="0" w:space="0" w:color="auto"/>
      </w:divBdr>
    </w:div>
    <w:div w:id="1266426510">
      <w:bodyDiv w:val="1"/>
      <w:marLeft w:val="0"/>
      <w:marRight w:val="0"/>
      <w:marTop w:val="0"/>
      <w:marBottom w:val="0"/>
      <w:divBdr>
        <w:top w:val="none" w:sz="0" w:space="0" w:color="auto"/>
        <w:left w:val="none" w:sz="0" w:space="0" w:color="auto"/>
        <w:bottom w:val="none" w:sz="0" w:space="0" w:color="auto"/>
        <w:right w:val="none" w:sz="0" w:space="0" w:color="auto"/>
      </w:divBdr>
    </w:div>
    <w:div w:id="1271595375">
      <w:bodyDiv w:val="1"/>
      <w:marLeft w:val="0"/>
      <w:marRight w:val="0"/>
      <w:marTop w:val="0"/>
      <w:marBottom w:val="0"/>
      <w:divBdr>
        <w:top w:val="none" w:sz="0" w:space="0" w:color="auto"/>
        <w:left w:val="none" w:sz="0" w:space="0" w:color="auto"/>
        <w:bottom w:val="none" w:sz="0" w:space="0" w:color="auto"/>
        <w:right w:val="none" w:sz="0" w:space="0" w:color="auto"/>
      </w:divBdr>
    </w:div>
    <w:div w:id="1300190601">
      <w:bodyDiv w:val="1"/>
      <w:marLeft w:val="0"/>
      <w:marRight w:val="0"/>
      <w:marTop w:val="0"/>
      <w:marBottom w:val="0"/>
      <w:divBdr>
        <w:top w:val="none" w:sz="0" w:space="0" w:color="auto"/>
        <w:left w:val="none" w:sz="0" w:space="0" w:color="auto"/>
        <w:bottom w:val="none" w:sz="0" w:space="0" w:color="auto"/>
        <w:right w:val="none" w:sz="0" w:space="0" w:color="auto"/>
      </w:divBdr>
    </w:div>
    <w:div w:id="1310205246">
      <w:bodyDiv w:val="1"/>
      <w:marLeft w:val="0"/>
      <w:marRight w:val="0"/>
      <w:marTop w:val="0"/>
      <w:marBottom w:val="0"/>
      <w:divBdr>
        <w:top w:val="none" w:sz="0" w:space="0" w:color="auto"/>
        <w:left w:val="none" w:sz="0" w:space="0" w:color="auto"/>
        <w:bottom w:val="none" w:sz="0" w:space="0" w:color="auto"/>
        <w:right w:val="none" w:sz="0" w:space="0" w:color="auto"/>
      </w:divBdr>
    </w:div>
    <w:div w:id="1318460443">
      <w:bodyDiv w:val="1"/>
      <w:marLeft w:val="0"/>
      <w:marRight w:val="0"/>
      <w:marTop w:val="0"/>
      <w:marBottom w:val="0"/>
      <w:divBdr>
        <w:top w:val="none" w:sz="0" w:space="0" w:color="auto"/>
        <w:left w:val="none" w:sz="0" w:space="0" w:color="auto"/>
        <w:bottom w:val="none" w:sz="0" w:space="0" w:color="auto"/>
        <w:right w:val="none" w:sz="0" w:space="0" w:color="auto"/>
      </w:divBdr>
    </w:div>
    <w:div w:id="1363557765">
      <w:bodyDiv w:val="1"/>
      <w:marLeft w:val="0"/>
      <w:marRight w:val="0"/>
      <w:marTop w:val="0"/>
      <w:marBottom w:val="0"/>
      <w:divBdr>
        <w:top w:val="none" w:sz="0" w:space="0" w:color="auto"/>
        <w:left w:val="none" w:sz="0" w:space="0" w:color="auto"/>
        <w:bottom w:val="none" w:sz="0" w:space="0" w:color="auto"/>
        <w:right w:val="none" w:sz="0" w:space="0" w:color="auto"/>
      </w:divBdr>
    </w:div>
    <w:div w:id="1392579544">
      <w:bodyDiv w:val="1"/>
      <w:marLeft w:val="0"/>
      <w:marRight w:val="0"/>
      <w:marTop w:val="0"/>
      <w:marBottom w:val="0"/>
      <w:divBdr>
        <w:top w:val="none" w:sz="0" w:space="0" w:color="auto"/>
        <w:left w:val="none" w:sz="0" w:space="0" w:color="auto"/>
        <w:bottom w:val="none" w:sz="0" w:space="0" w:color="auto"/>
        <w:right w:val="none" w:sz="0" w:space="0" w:color="auto"/>
      </w:divBdr>
    </w:div>
    <w:div w:id="1509372539">
      <w:bodyDiv w:val="1"/>
      <w:marLeft w:val="0"/>
      <w:marRight w:val="0"/>
      <w:marTop w:val="0"/>
      <w:marBottom w:val="0"/>
      <w:divBdr>
        <w:top w:val="none" w:sz="0" w:space="0" w:color="auto"/>
        <w:left w:val="none" w:sz="0" w:space="0" w:color="auto"/>
        <w:bottom w:val="none" w:sz="0" w:space="0" w:color="auto"/>
        <w:right w:val="none" w:sz="0" w:space="0" w:color="auto"/>
      </w:divBdr>
    </w:div>
    <w:div w:id="1539468648">
      <w:bodyDiv w:val="1"/>
      <w:marLeft w:val="0"/>
      <w:marRight w:val="0"/>
      <w:marTop w:val="0"/>
      <w:marBottom w:val="0"/>
      <w:divBdr>
        <w:top w:val="none" w:sz="0" w:space="0" w:color="auto"/>
        <w:left w:val="none" w:sz="0" w:space="0" w:color="auto"/>
        <w:bottom w:val="none" w:sz="0" w:space="0" w:color="auto"/>
        <w:right w:val="none" w:sz="0" w:space="0" w:color="auto"/>
      </w:divBdr>
    </w:div>
    <w:div w:id="1624995544">
      <w:bodyDiv w:val="1"/>
      <w:marLeft w:val="0"/>
      <w:marRight w:val="0"/>
      <w:marTop w:val="0"/>
      <w:marBottom w:val="0"/>
      <w:divBdr>
        <w:top w:val="none" w:sz="0" w:space="0" w:color="auto"/>
        <w:left w:val="none" w:sz="0" w:space="0" w:color="auto"/>
        <w:bottom w:val="none" w:sz="0" w:space="0" w:color="auto"/>
        <w:right w:val="none" w:sz="0" w:space="0" w:color="auto"/>
      </w:divBdr>
    </w:div>
    <w:div w:id="1638994152">
      <w:bodyDiv w:val="1"/>
      <w:marLeft w:val="0"/>
      <w:marRight w:val="0"/>
      <w:marTop w:val="0"/>
      <w:marBottom w:val="0"/>
      <w:divBdr>
        <w:top w:val="none" w:sz="0" w:space="0" w:color="auto"/>
        <w:left w:val="none" w:sz="0" w:space="0" w:color="auto"/>
        <w:bottom w:val="none" w:sz="0" w:space="0" w:color="auto"/>
        <w:right w:val="none" w:sz="0" w:space="0" w:color="auto"/>
      </w:divBdr>
    </w:div>
    <w:div w:id="1657418530">
      <w:bodyDiv w:val="1"/>
      <w:marLeft w:val="0"/>
      <w:marRight w:val="0"/>
      <w:marTop w:val="0"/>
      <w:marBottom w:val="0"/>
      <w:divBdr>
        <w:top w:val="none" w:sz="0" w:space="0" w:color="auto"/>
        <w:left w:val="none" w:sz="0" w:space="0" w:color="auto"/>
        <w:bottom w:val="none" w:sz="0" w:space="0" w:color="auto"/>
        <w:right w:val="none" w:sz="0" w:space="0" w:color="auto"/>
      </w:divBdr>
    </w:div>
    <w:div w:id="1728915741">
      <w:bodyDiv w:val="1"/>
      <w:marLeft w:val="0"/>
      <w:marRight w:val="0"/>
      <w:marTop w:val="0"/>
      <w:marBottom w:val="0"/>
      <w:divBdr>
        <w:top w:val="none" w:sz="0" w:space="0" w:color="auto"/>
        <w:left w:val="none" w:sz="0" w:space="0" w:color="auto"/>
        <w:bottom w:val="none" w:sz="0" w:space="0" w:color="auto"/>
        <w:right w:val="none" w:sz="0" w:space="0" w:color="auto"/>
      </w:divBdr>
    </w:div>
    <w:div w:id="1747796810">
      <w:bodyDiv w:val="1"/>
      <w:marLeft w:val="0"/>
      <w:marRight w:val="0"/>
      <w:marTop w:val="0"/>
      <w:marBottom w:val="0"/>
      <w:divBdr>
        <w:top w:val="none" w:sz="0" w:space="0" w:color="auto"/>
        <w:left w:val="none" w:sz="0" w:space="0" w:color="auto"/>
        <w:bottom w:val="none" w:sz="0" w:space="0" w:color="auto"/>
        <w:right w:val="none" w:sz="0" w:space="0" w:color="auto"/>
      </w:divBdr>
    </w:div>
    <w:div w:id="1779328287">
      <w:bodyDiv w:val="1"/>
      <w:marLeft w:val="0"/>
      <w:marRight w:val="0"/>
      <w:marTop w:val="0"/>
      <w:marBottom w:val="0"/>
      <w:divBdr>
        <w:top w:val="none" w:sz="0" w:space="0" w:color="auto"/>
        <w:left w:val="none" w:sz="0" w:space="0" w:color="auto"/>
        <w:bottom w:val="none" w:sz="0" w:space="0" w:color="auto"/>
        <w:right w:val="none" w:sz="0" w:space="0" w:color="auto"/>
      </w:divBdr>
    </w:div>
    <w:div w:id="1820000887">
      <w:bodyDiv w:val="1"/>
      <w:marLeft w:val="0"/>
      <w:marRight w:val="0"/>
      <w:marTop w:val="0"/>
      <w:marBottom w:val="0"/>
      <w:divBdr>
        <w:top w:val="none" w:sz="0" w:space="0" w:color="auto"/>
        <w:left w:val="none" w:sz="0" w:space="0" w:color="auto"/>
        <w:bottom w:val="none" w:sz="0" w:space="0" w:color="auto"/>
        <w:right w:val="none" w:sz="0" w:space="0" w:color="auto"/>
      </w:divBdr>
    </w:div>
    <w:div w:id="1828282311">
      <w:bodyDiv w:val="1"/>
      <w:marLeft w:val="0"/>
      <w:marRight w:val="0"/>
      <w:marTop w:val="0"/>
      <w:marBottom w:val="0"/>
      <w:divBdr>
        <w:top w:val="none" w:sz="0" w:space="0" w:color="auto"/>
        <w:left w:val="none" w:sz="0" w:space="0" w:color="auto"/>
        <w:bottom w:val="none" w:sz="0" w:space="0" w:color="auto"/>
        <w:right w:val="none" w:sz="0" w:space="0" w:color="auto"/>
      </w:divBdr>
    </w:div>
    <w:div w:id="1885410239">
      <w:bodyDiv w:val="1"/>
      <w:marLeft w:val="0"/>
      <w:marRight w:val="0"/>
      <w:marTop w:val="0"/>
      <w:marBottom w:val="0"/>
      <w:divBdr>
        <w:top w:val="none" w:sz="0" w:space="0" w:color="auto"/>
        <w:left w:val="none" w:sz="0" w:space="0" w:color="auto"/>
        <w:bottom w:val="none" w:sz="0" w:space="0" w:color="auto"/>
        <w:right w:val="none" w:sz="0" w:space="0" w:color="auto"/>
      </w:divBdr>
    </w:div>
    <w:div w:id="2043825284">
      <w:bodyDiv w:val="1"/>
      <w:marLeft w:val="0"/>
      <w:marRight w:val="0"/>
      <w:marTop w:val="0"/>
      <w:marBottom w:val="0"/>
      <w:divBdr>
        <w:top w:val="none" w:sz="0" w:space="0" w:color="auto"/>
        <w:left w:val="none" w:sz="0" w:space="0" w:color="auto"/>
        <w:bottom w:val="none" w:sz="0" w:space="0" w:color="auto"/>
        <w:right w:val="none" w:sz="0" w:space="0" w:color="auto"/>
      </w:divBdr>
    </w:div>
    <w:div w:id="2068408748">
      <w:bodyDiv w:val="1"/>
      <w:marLeft w:val="0"/>
      <w:marRight w:val="0"/>
      <w:marTop w:val="0"/>
      <w:marBottom w:val="0"/>
      <w:divBdr>
        <w:top w:val="none" w:sz="0" w:space="0" w:color="auto"/>
        <w:left w:val="none" w:sz="0" w:space="0" w:color="auto"/>
        <w:bottom w:val="none" w:sz="0" w:space="0" w:color="auto"/>
        <w:right w:val="none" w:sz="0" w:space="0" w:color="auto"/>
      </w:divBdr>
    </w:div>
    <w:div w:id="2069724626">
      <w:bodyDiv w:val="1"/>
      <w:marLeft w:val="0"/>
      <w:marRight w:val="0"/>
      <w:marTop w:val="0"/>
      <w:marBottom w:val="0"/>
      <w:divBdr>
        <w:top w:val="none" w:sz="0" w:space="0" w:color="auto"/>
        <w:left w:val="none" w:sz="0" w:space="0" w:color="auto"/>
        <w:bottom w:val="none" w:sz="0" w:space="0" w:color="auto"/>
        <w:right w:val="none" w:sz="0" w:space="0" w:color="auto"/>
      </w:divBdr>
    </w:div>
    <w:div w:id="2116632544">
      <w:bodyDiv w:val="1"/>
      <w:marLeft w:val="0"/>
      <w:marRight w:val="0"/>
      <w:marTop w:val="0"/>
      <w:marBottom w:val="0"/>
      <w:divBdr>
        <w:top w:val="none" w:sz="0" w:space="0" w:color="auto"/>
        <w:left w:val="none" w:sz="0" w:space="0" w:color="auto"/>
        <w:bottom w:val="none" w:sz="0" w:space="0" w:color="auto"/>
        <w:right w:val="none" w:sz="0" w:space="0" w:color="auto"/>
      </w:divBdr>
    </w:div>
    <w:div w:id="2122524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youtu.be/joOMK4NcSf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3.emf"/><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hyperlink" Target="https://www.dataforce.de/it/tutte-le-notizie/focus-noleggio-aniasa-dataforce-primo-trimestre-2024/"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1.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dataforce.it" TargetMode="External"/><Relationship Id="rId2" Type="http://schemas.openxmlformats.org/officeDocument/2006/relationships/hyperlink" Target="https://www.aniasa.it/" TargetMode="External"/><Relationship Id="rId1" Type="http://schemas.openxmlformats.org/officeDocument/2006/relationships/hyperlink" Target="mailto:aniasa@aniasa.it" TargetMode="External"/><Relationship Id="rId4" Type="http://schemas.openxmlformats.org/officeDocument/2006/relationships/hyperlink" Target="https://www.dataforce.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dataforce.it" TargetMode="External"/><Relationship Id="rId1" Type="http://schemas.openxmlformats.org/officeDocument/2006/relationships/hyperlink" Target="mailto:info@dataforce.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aniasa.it/" TargetMode="External"/><Relationship Id="rId2" Type="http://schemas.openxmlformats.org/officeDocument/2006/relationships/image" Target="media/image8.jpg"/><Relationship Id="rId1" Type="http://schemas.openxmlformats.org/officeDocument/2006/relationships/hyperlink" Target="https://www.dataforce.de/it/" TargetMode="External"/><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hyperlink" Target="https://www.dataforce.d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3be4e3-8e59-4a72-b2ca-86361d398801">
      <Terms xmlns="http://schemas.microsoft.com/office/infopath/2007/PartnerControls"/>
    </lcf76f155ced4ddcb4097134ff3c332f>
    <TaxCatchAll xmlns="b6e972ff-1bf7-4bc8-a584-697ead79d03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3AD4C590676BF4EA21298B700E5B9F0" ma:contentTypeVersion="14" ma:contentTypeDescription="Creare un nuovo documento." ma:contentTypeScope="" ma:versionID="44bbef0ac0f1ebcfb9a1bd03fcb4948c">
  <xsd:schema xmlns:xsd="http://www.w3.org/2001/XMLSchema" xmlns:xs="http://www.w3.org/2001/XMLSchema" xmlns:p="http://schemas.microsoft.com/office/2006/metadata/properties" xmlns:ns2="323be4e3-8e59-4a72-b2ca-86361d398801" xmlns:ns3="b6e972ff-1bf7-4bc8-a584-697ead79d030" targetNamespace="http://schemas.microsoft.com/office/2006/metadata/properties" ma:root="true" ma:fieldsID="f05d79afa45c8690107283f70162eb3e" ns2:_="" ns3:_="">
    <xsd:import namespace="323be4e3-8e59-4a72-b2ca-86361d398801"/>
    <xsd:import namespace="b6e972ff-1bf7-4bc8-a584-697ead79d0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be4e3-8e59-4a72-b2ca-86361d398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Tag immagine" ma:readOnly="false" ma:fieldId="{5cf76f15-5ced-4ddc-b409-7134ff3c332f}" ma:taxonomyMulti="true" ma:sspId="60174f87-0d04-4d81-a41e-9e5f4f78069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e972ff-1bf7-4bc8-a584-697ead79d03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8199508-60ca-4f24-9815-e797b3379cc8}" ma:internalName="TaxCatchAll" ma:showField="CatchAllData" ma:web="b6e972ff-1bf7-4bc8-a584-697ead79d03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4C952-89C2-48F1-B45A-B2BD78B6FCE6}">
  <ds:schemaRefs>
    <ds:schemaRef ds:uri="http://schemas.openxmlformats.org/officeDocument/2006/bibliography"/>
  </ds:schemaRefs>
</ds:datastoreItem>
</file>

<file path=customXml/itemProps2.xml><?xml version="1.0" encoding="utf-8"?>
<ds:datastoreItem xmlns:ds="http://schemas.openxmlformats.org/officeDocument/2006/customXml" ds:itemID="{D2CC2AF1-1E70-4819-B32A-6253288690D8}">
  <ds:schemaRefs>
    <ds:schemaRef ds:uri="http://schemas.microsoft.com/sharepoint/v3/contenttype/forms"/>
  </ds:schemaRefs>
</ds:datastoreItem>
</file>

<file path=customXml/itemProps3.xml><?xml version="1.0" encoding="utf-8"?>
<ds:datastoreItem xmlns:ds="http://schemas.openxmlformats.org/officeDocument/2006/customXml" ds:itemID="{74966E1D-292D-4E0D-A8C9-79049BA614EC}">
  <ds:schemaRefs>
    <ds:schemaRef ds:uri="http://schemas.microsoft.com/office/2006/metadata/properties"/>
    <ds:schemaRef ds:uri="http://schemas.microsoft.com/office/infopath/2007/PartnerControls"/>
    <ds:schemaRef ds:uri="323be4e3-8e59-4a72-b2ca-86361d398801"/>
    <ds:schemaRef ds:uri="b6e972ff-1bf7-4bc8-a584-697ead79d030"/>
  </ds:schemaRefs>
</ds:datastoreItem>
</file>

<file path=customXml/itemProps4.xml><?xml version="1.0" encoding="utf-8"?>
<ds:datastoreItem xmlns:ds="http://schemas.openxmlformats.org/officeDocument/2006/customXml" ds:itemID="{87CB660D-57C7-4E90-863F-EDB6A577C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be4e3-8e59-4a72-b2ca-86361d398801"/>
    <ds:schemaRef ds:uri="b6e972ff-1bf7-4bc8-a584-697ead79d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2924</Words>
  <Characters>16671</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Salvatore Saladino</dc:creator>
  <cp:lastModifiedBy>Marco Catino</cp:lastModifiedBy>
  <cp:revision>2</cp:revision>
  <cp:lastPrinted>2024-04-04T09:48:00Z</cp:lastPrinted>
  <dcterms:created xsi:type="dcterms:W3CDTF">2024-04-04T15:46:00Z</dcterms:created>
  <dcterms:modified xsi:type="dcterms:W3CDTF">2024-04-04T15:46:00Z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0x01010043AD4C590676BF4EA21298B700E5B9F0</vt:lpwstr>
  </property>
  <property fmtid="{D5CDD505-2E9C-101B-9397-08002B2CF9AE}" pid="3" name="MediaServiceImageTags">
    <vt:lpwstr/>
  </property>
</Properties>
</file>